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rFonts w:ascii="仿宋_GB2312"/>
          <w:color w:val="auto"/>
          <w:kern w:val="0"/>
          <w:szCs w:val="32"/>
        </w:rPr>
      </w:pPr>
      <w:r>
        <w:rPr>
          <w:rFonts w:hint="eastAsia" w:ascii="黑体" w:eastAsia="黑体"/>
          <w:bCs/>
          <w:color w:val="auto"/>
          <w:kern w:val="0"/>
          <w:sz w:val="32"/>
          <w:szCs w:val="32"/>
        </w:rPr>
        <w:t>附件</w:t>
      </w:r>
      <w:r>
        <w:rPr>
          <w:rFonts w:hint="eastAsia" w:ascii="黑体" w:eastAsia="黑体"/>
          <w:bCs/>
          <w:color w:val="auto"/>
          <w:kern w:val="0"/>
          <w:sz w:val="32"/>
          <w:szCs w:val="32"/>
          <w:lang w:val="en-US" w:eastAsia="zh-CN"/>
        </w:rPr>
        <w:t>1</w:t>
      </w:r>
    </w:p>
    <w:p>
      <w:pPr>
        <w:spacing w:line="520" w:lineRule="exact"/>
        <w:jc w:val="center"/>
        <w:rPr>
          <w:rFonts w:ascii="宋体"/>
          <w:b/>
          <w:color w:val="auto"/>
          <w:sz w:val="36"/>
          <w:szCs w:val="36"/>
        </w:rPr>
      </w:pPr>
      <w:r>
        <w:rPr>
          <w:rFonts w:hint="eastAsia" w:ascii="宋体"/>
          <w:b/>
          <w:color w:val="auto"/>
          <w:sz w:val="36"/>
          <w:szCs w:val="36"/>
        </w:rPr>
        <w:t>福建省</w:t>
      </w:r>
      <w:r>
        <w:rPr>
          <w:rFonts w:hint="eastAsia" w:ascii="宋体"/>
          <w:b/>
          <w:color w:val="auto"/>
          <w:sz w:val="36"/>
          <w:szCs w:val="36"/>
          <w:lang w:eastAsia="zh-CN"/>
        </w:rPr>
        <w:t>2024年</w:t>
      </w:r>
      <w:r>
        <w:rPr>
          <w:rFonts w:hint="eastAsia" w:ascii="宋体"/>
          <w:b/>
          <w:color w:val="auto"/>
          <w:sz w:val="36"/>
          <w:szCs w:val="36"/>
        </w:rPr>
        <w:t>省级“三支一扶”计划省内高校毕业生报名人员考核汇总表</w:t>
      </w:r>
    </w:p>
    <w:p>
      <w:pPr>
        <w:spacing w:line="520" w:lineRule="exact"/>
        <w:rPr>
          <w:rFonts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学校：（盖章）</w:t>
      </w:r>
    </w:p>
    <w:tbl>
      <w:tblPr>
        <w:tblStyle w:val="4"/>
        <w:tblW w:w="144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3"/>
        <w:gridCol w:w="583"/>
        <w:gridCol w:w="762"/>
        <w:gridCol w:w="824"/>
        <w:gridCol w:w="486"/>
        <w:gridCol w:w="740"/>
        <w:gridCol w:w="729"/>
        <w:gridCol w:w="764"/>
        <w:gridCol w:w="671"/>
        <w:gridCol w:w="1377"/>
        <w:gridCol w:w="752"/>
        <w:gridCol w:w="1244"/>
        <w:gridCol w:w="1335"/>
        <w:gridCol w:w="2092"/>
        <w:gridCol w:w="1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8" w:hRule="atLeast"/>
          <w:jc w:val="center"/>
        </w:trPr>
        <w:tc>
          <w:tcPr>
            <w:tcW w:w="443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  <w:t>序号</w:t>
            </w:r>
          </w:p>
        </w:tc>
        <w:tc>
          <w:tcPr>
            <w:tcW w:w="583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  <w:t>姓名</w:t>
            </w:r>
          </w:p>
        </w:tc>
        <w:tc>
          <w:tcPr>
            <w:tcW w:w="762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hAnsi="仿宋_GB2312" w:eastAsia="仿宋_GB2312" w:cs="仿宋_GB2312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lang w:val="en-US" w:eastAsia="zh-CN"/>
              </w:rPr>
              <w:t>身份证号</w:t>
            </w:r>
          </w:p>
        </w:tc>
        <w:tc>
          <w:tcPr>
            <w:tcW w:w="824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lang w:val="en-US" w:eastAsia="zh-CN"/>
              </w:rPr>
              <w:t>生源地（精确到县）</w:t>
            </w:r>
          </w:p>
        </w:tc>
        <w:tc>
          <w:tcPr>
            <w:tcW w:w="486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  <w:t>民族</w:t>
            </w:r>
          </w:p>
        </w:tc>
        <w:tc>
          <w:tcPr>
            <w:tcW w:w="740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  <w:t>政治面貌</w:t>
            </w:r>
          </w:p>
        </w:tc>
        <w:tc>
          <w:tcPr>
            <w:tcW w:w="729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  <w:t>是否属于全日制毕业生</w:t>
            </w:r>
          </w:p>
        </w:tc>
        <w:tc>
          <w:tcPr>
            <w:tcW w:w="76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  <w:t>学历</w:t>
            </w:r>
          </w:p>
        </w:tc>
        <w:tc>
          <w:tcPr>
            <w:tcW w:w="671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  <w:t>专业</w:t>
            </w:r>
          </w:p>
        </w:tc>
        <w:tc>
          <w:tcPr>
            <w:tcW w:w="1377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lang w:val="en-US" w:eastAsia="zh-CN"/>
              </w:rPr>
              <w:t>报名单位</w:t>
            </w:r>
          </w:p>
        </w:tc>
        <w:tc>
          <w:tcPr>
            <w:tcW w:w="752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  <w:t>专业成绩排名得分</w:t>
            </w:r>
          </w:p>
        </w:tc>
        <w:tc>
          <w:tcPr>
            <w:tcW w:w="124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  <w:t>专业成绩排名（</w:t>
            </w:r>
            <w:r>
              <w:rPr>
                <w:rFonts w:ascii="仿宋_GB2312" w:hAnsi="仿宋_GB2312" w:eastAsia="仿宋_GB2312" w:cs="仿宋_GB2312"/>
                <w:b/>
                <w:bCs/>
                <w:color w:val="auto"/>
                <w:sz w:val="24"/>
              </w:rPr>
              <w:t>%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lang w:val="en-US" w:eastAsia="zh-CN"/>
              </w:rPr>
              <w:t>精确到小数点后两位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  <w:t>）</w:t>
            </w:r>
          </w:p>
        </w:tc>
        <w:tc>
          <w:tcPr>
            <w:tcW w:w="1335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lang w:val="en-US" w:eastAsia="zh-CN"/>
              </w:rPr>
              <w:t>获得荣誉（奖学金、奖项）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  <w:t>情况得分</w:t>
            </w:r>
          </w:p>
        </w:tc>
        <w:tc>
          <w:tcPr>
            <w:tcW w:w="2092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lang w:val="en-US" w:eastAsia="zh-CN"/>
              </w:rPr>
              <w:t>获得荣誉（奖学金、奖项）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</w:rPr>
              <w:t>情况</w:t>
            </w:r>
          </w:p>
        </w:tc>
        <w:tc>
          <w:tcPr>
            <w:tcW w:w="1613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hAnsi="仿宋_GB2312" w:eastAsia="仿宋_GB2312" w:cs="仿宋_GB2312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exact"/>
          <w:jc w:val="center"/>
        </w:trPr>
        <w:tc>
          <w:tcPr>
            <w:tcW w:w="443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  <w:color w:val="auto"/>
                <w:sz w:val="24"/>
              </w:rPr>
            </w:pPr>
          </w:p>
        </w:tc>
        <w:tc>
          <w:tcPr>
            <w:tcW w:w="583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  <w:color w:val="auto"/>
                <w:sz w:val="24"/>
              </w:rPr>
            </w:pPr>
          </w:p>
        </w:tc>
        <w:tc>
          <w:tcPr>
            <w:tcW w:w="762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  <w:color w:val="auto"/>
                <w:sz w:val="24"/>
              </w:rPr>
            </w:pPr>
          </w:p>
        </w:tc>
        <w:tc>
          <w:tcPr>
            <w:tcW w:w="82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  <w:color w:val="auto"/>
                <w:sz w:val="24"/>
              </w:rPr>
            </w:pPr>
          </w:p>
        </w:tc>
        <w:tc>
          <w:tcPr>
            <w:tcW w:w="486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  <w:color w:val="auto"/>
                <w:sz w:val="24"/>
              </w:rPr>
            </w:pPr>
          </w:p>
        </w:tc>
        <w:tc>
          <w:tcPr>
            <w:tcW w:w="729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  <w:color w:val="auto"/>
                <w:sz w:val="24"/>
              </w:rPr>
            </w:pPr>
          </w:p>
        </w:tc>
        <w:tc>
          <w:tcPr>
            <w:tcW w:w="76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  <w:color w:val="auto"/>
                <w:sz w:val="24"/>
              </w:rPr>
            </w:pPr>
          </w:p>
        </w:tc>
        <w:tc>
          <w:tcPr>
            <w:tcW w:w="671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  <w:color w:val="auto"/>
                <w:sz w:val="24"/>
              </w:rPr>
            </w:pPr>
          </w:p>
        </w:tc>
        <w:tc>
          <w:tcPr>
            <w:tcW w:w="1377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  <w:color w:val="auto"/>
                <w:sz w:val="24"/>
              </w:rPr>
            </w:pPr>
            <w:bookmarkStart w:id="0" w:name="_GoBack"/>
            <w:bookmarkEnd w:id="0"/>
          </w:p>
        </w:tc>
        <w:tc>
          <w:tcPr>
            <w:tcW w:w="752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  <w:color w:val="auto"/>
                <w:sz w:val="24"/>
              </w:rPr>
            </w:pPr>
          </w:p>
        </w:tc>
        <w:tc>
          <w:tcPr>
            <w:tcW w:w="124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  <w:color w:val="auto"/>
                <w:sz w:val="24"/>
              </w:rPr>
            </w:pPr>
          </w:p>
        </w:tc>
        <w:tc>
          <w:tcPr>
            <w:tcW w:w="1335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  <w:color w:val="auto"/>
                <w:sz w:val="24"/>
              </w:rPr>
            </w:pPr>
          </w:p>
        </w:tc>
        <w:tc>
          <w:tcPr>
            <w:tcW w:w="2092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  <w:color w:val="auto"/>
                <w:sz w:val="24"/>
              </w:rPr>
            </w:pPr>
          </w:p>
        </w:tc>
        <w:tc>
          <w:tcPr>
            <w:tcW w:w="1613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exact"/>
          <w:jc w:val="center"/>
        </w:trPr>
        <w:tc>
          <w:tcPr>
            <w:tcW w:w="443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  <w:color w:val="auto"/>
                <w:sz w:val="24"/>
              </w:rPr>
            </w:pPr>
          </w:p>
        </w:tc>
        <w:tc>
          <w:tcPr>
            <w:tcW w:w="583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  <w:color w:val="auto"/>
                <w:sz w:val="24"/>
              </w:rPr>
            </w:pPr>
          </w:p>
        </w:tc>
        <w:tc>
          <w:tcPr>
            <w:tcW w:w="762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  <w:color w:val="auto"/>
                <w:sz w:val="24"/>
              </w:rPr>
            </w:pPr>
          </w:p>
        </w:tc>
        <w:tc>
          <w:tcPr>
            <w:tcW w:w="82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  <w:color w:val="auto"/>
                <w:sz w:val="24"/>
              </w:rPr>
            </w:pPr>
          </w:p>
        </w:tc>
        <w:tc>
          <w:tcPr>
            <w:tcW w:w="486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  <w:color w:val="auto"/>
                <w:sz w:val="24"/>
              </w:rPr>
            </w:pPr>
          </w:p>
        </w:tc>
        <w:tc>
          <w:tcPr>
            <w:tcW w:w="729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  <w:color w:val="auto"/>
                <w:sz w:val="24"/>
              </w:rPr>
            </w:pPr>
          </w:p>
        </w:tc>
        <w:tc>
          <w:tcPr>
            <w:tcW w:w="76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  <w:color w:val="auto"/>
                <w:sz w:val="24"/>
              </w:rPr>
            </w:pPr>
          </w:p>
        </w:tc>
        <w:tc>
          <w:tcPr>
            <w:tcW w:w="671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  <w:color w:val="auto"/>
                <w:sz w:val="24"/>
              </w:rPr>
            </w:pPr>
          </w:p>
        </w:tc>
        <w:tc>
          <w:tcPr>
            <w:tcW w:w="1377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  <w:color w:val="auto"/>
                <w:sz w:val="24"/>
              </w:rPr>
            </w:pPr>
          </w:p>
        </w:tc>
        <w:tc>
          <w:tcPr>
            <w:tcW w:w="752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  <w:color w:val="auto"/>
                <w:sz w:val="24"/>
              </w:rPr>
            </w:pPr>
          </w:p>
        </w:tc>
        <w:tc>
          <w:tcPr>
            <w:tcW w:w="124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  <w:color w:val="auto"/>
                <w:sz w:val="24"/>
              </w:rPr>
            </w:pPr>
          </w:p>
        </w:tc>
        <w:tc>
          <w:tcPr>
            <w:tcW w:w="1335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  <w:color w:val="auto"/>
                <w:sz w:val="24"/>
              </w:rPr>
            </w:pPr>
          </w:p>
        </w:tc>
        <w:tc>
          <w:tcPr>
            <w:tcW w:w="2092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  <w:color w:val="auto"/>
                <w:sz w:val="24"/>
              </w:rPr>
            </w:pPr>
          </w:p>
        </w:tc>
        <w:tc>
          <w:tcPr>
            <w:tcW w:w="1613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exact"/>
          <w:jc w:val="center"/>
        </w:trPr>
        <w:tc>
          <w:tcPr>
            <w:tcW w:w="443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  <w:color w:val="auto"/>
                <w:sz w:val="24"/>
              </w:rPr>
            </w:pPr>
          </w:p>
        </w:tc>
        <w:tc>
          <w:tcPr>
            <w:tcW w:w="583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  <w:color w:val="auto"/>
                <w:sz w:val="24"/>
              </w:rPr>
            </w:pPr>
          </w:p>
        </w:tc>
        <w:tc>
          <w:tcPr>
            <w:tcW w:w="762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  <w:color w:val="auto"/>
                <w:sz w:val="24"/>
              </w:rPr>
            </w:pPr>
          </w:p>
        </w:tc>
        <w:tc>
          <w:tcPr>
            <w:tcW w:w="82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  <w:color w:val="auto"/>
                <w:sz w:val="24"/>
              </w:rPr>
            </w:pPr>
          </w:p>
        </w:tc>
        <w:tc>
          <w:tcPr>
            <w:tcW w:w="486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  <w:color w:val="auto"/>
                <w:sz w:val="24"/>
              </w:rPr>
            </w:pPr>
          </w:p>
        </w:tc>
        <w:tc>
          <w:tcPr>
            <w:tcW w:w="729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  <w:color w:val="auto"/>
                <w:sz w:val="24"/>
              </w:rPr>
            </w:pPr>
          </w:p>
        </w:tc>
        <w:tc>
          <w:tcPr>
            <w:tcW w:w="76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  <w:color w:val="auto"/>
                <w:sz w:val="24"/>
              </w:rPr>
            </w:pPr>
          </w:p>
        </w:tc>
        <w:tc>
          <w:tcPr>
            <w:tcW w:w="671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  <w:color w:val="auto"/>
                <w:sz w:val="24"/>
              </w:rPr>
            </w:pPr>
          </w:p>
        </w:tc>
        <w:tc>
          <w:tcPr>
            <w:tcW w:w="1377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  <w:color w:val="auto"/>
                <w:sz w:val="24"/>
              </w:rPr>
            </w:pPr>
          </w:p>
        </w:tc>
        <w:tc>
          <w:tcPr>
            <w:tcW w:w="752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  <w:color w:val="auto"/>
                <w:sz w:val="24"/>
              </w:rPr>
            </w:pPr>
          </w:p>
        </w:tc>
        <w:tc>
          <w:tcPr>
            <w:tcW w:w="124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  <w:color w:val="auto"/>
                <w:sz w:val="24"/>
              </w:rPr>
            </w:pPr>
          </w:p>
        </w:tc>
        <w:tc>
          <w:tcPr>
            <w:tcW w:w="1335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  <w:color w:val="auto"/>
                <w:sz w:val="24"/>
              </w:rPr>
            </w:pPr>
          </w:p>
        </w:tc>
        <w:tc>
          <w:tcPr>
            <w:tcW w:w="2092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  <w:color w:val="auto"/>
                <w:sz w:val="24"/>
              </w:rPr>
            </w:pPr>
          </w:p>
        </w:tc>
        <w:tc>
          <w:tcPr>
            <w:tcW w:w="1613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  <w:color w:val="auto"/>
                <w:sz w:val="24"/>
              </w:rPr>
            </w:pPr>
          </w:p>
        </w:tc>
      </w:tr>
    </w:tbl>
    <w:p>
      <w:pPr>
        <w:spacing w:line="520" w:lineRule="exact"/>
        <w:rPr>
          <w:rFonts w:hint="eastAsia" w:ascii="宋体" w:hAnsi="宋体" w:eastAsia="宋体" w:cs="宋体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注：在校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lang w:val="en-US" w:eastAsia="zh-CN"/>
        </w:rPr>
        <w:t>获得荣誉（奖学金</w:t>
      </w:r>
      <w:r>
        <w:rPr>
          <w:rFonts w:hint="eastAsia" w:ascii="宋体" w:hAnsi="宋体" w:cs="宋体"/>
          <w:bCs/>
          <w:color w:val="auto"/>
          <w:sz w:val="24"/>
          <w:szCs w:val="24"/>
          <w:lang w:val="en-US" w:eastAsia="zh-CN"/>
        </w:rPr>
        <w:t>、奖项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lang w:val="en-US" w:eastAsia="zh-CN"/>
        </w:rPr>
        <w:t>）</w:t>
      </w: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情况按照就高不重复原则评分，各院校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lang w:eastAsia="zh-CN"/>
        </w:rPr>
        <w:t>应</w:t>
      </w: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在</w:t>
      </w:r>
      <w:r>
        <w:rPr>
          <w:rFonts w:hint="eastAsia" w:ascii="宋体" w:hAnsi="宋体" w:cs="宋体"/>
          <w:bCs/>
          <w:color w:val="auto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月</w:t>
      </w:r>
      <w:r>
        <w:rPr>
          <w:rFonts w:hint="eastAsia" w:ascii="宋体" w:hAnsi="宋体" w:cs="宋体"/>
          <w:bCs/>
          <w:color w:val="auto"/>
          <w:sz w:val="24"/>
          <w:szCs w:val="24"/>
          <w:lang w:val="en-US" w:eastAsia="zh-CN"/>
        </w:rPr>
        <w:t>17</w:t>
      </w: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日前将本表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寄送至</w:t>
      </w: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毕业生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报名岗位所在设区市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  <w:t>人社部门。</w:t>
      </w:r>
    </w:p>
    <w:p>
      <w:pPr>
        <w:spacing w:line="520" w:lineRule="exac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填表人：</w:t>
      </w:r>
      <w:r>
        <w:rPr>
          <w:rFonts w:hint="default" w:ascii="宋体" w:hAnsi="宋体" w:cs="宋体"/>
          <w:color w:val="auto"/>
          <w:sz w:val="24"/>
          <w:szCs w:val="24"/>
        </w:rPr>
        <w:t>(必填)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        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联系电话：</w:t>
      </w:r>
      <w:r>
        <w:rPr>
          <w:rFonts w:hint="default" w:ascii="宋体" w:hAnsi="宋体" w:cs="宋体"/>
          <w:color w:val="auto"/>
          <w:sz w:val="24"/>
          <w:szCs w:val="24"/>
        </w:rPr>
        <w:t>(必填)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</w:t>
      </w:r>
    </w:p>
    <w:p>
      <w:pPr>
        <w:spacing w:line="520" w:lineRule="exact"/>
        <w:rPr>
          <w:rFonts w:hint="eastAsia" w:ascii="黑体" w:eastAsia="黑体"/>
          <w:bCs/>
          <w:color w:val="auto"/>
          <w:kern w:val="0"/>
          <w:sz w:val="32"/>
          <w:szCs w:val="32"/>
        </w:rPr>
        <w:sectPr>
          <w:pgSz w:w="16838" w:h="11906" w:orient="landscape"/>
          <w:pgMar w:top="720" w:right="720" w:bottom="720" w:left="720" w:header="851" w:footer="992" w:gutter="0"/>
          <w:cols w:space="425" w:num="1"/>
          <w:docGrid w:type="lines" w:linePitch="312" w:charSpace="0"/>
        </w:sectPr>
      </w:pPr>
    </w:p>
    <w:p>
      <w:pPr>
        <w:spacing w:line="520" w:lineRule="exact"/>
        <w:rPr>
          <w:rFonts w:hint="eastAsia" w:ascii="黑体" w:eastAsia="黑体"/>
          <w:bCs/>
          <w:color w:val="auto"/>
          <w:kern w:val="0"/>
          <w:sz w:val="32"/>
          <w:szCs w:val="32"/>
          <w:lang w:eastAsia="zh-CN"/>
        </w:rPr>
      </w:pPr>
      <w:r>
        <w:rPr>
          <w:rFonts w:hint="eastAsia" w:ascii="黑体" w:eastAsia="黑体"/>
          <w:bCs/>
          <w:color w:val="auto"/>
          <w:kern w:val="0"/>
          <w:sz w:val="32"/>
          <w:szCs w:val="32"/>
        </w:rPr>
        <w:t>附件</w:t>
      </w:r>
      <w:r>
        <w:rPr>
          <w:rFonts w:hint="eastAsia" w:ascii="黑体" w:eastAsia="黑体"/>
          <w:bCs/>
          <w:color w:val="auto"/>
          <w:kern w:val="0"/>
          <w:sz w:val="32"/>
          <w:szCs w:val="32"/>
          <w:lang w:val="en-US" w:eastAsia="zh-CN"/>
        </w:rPr>
        <w:t>2</w:t>
      </w:r>
    </w:p>
    <w:p>
      <w:pPr>
        <w:spacing w:line="550" w:lineRule="exact"/>
        <w:jc w:val="center"/>
        <w:rPr>
          <w:rFonts w:hint="eastAsia" w:ascii="宋体" w:hAnsi="宋体" w:cs="宋体"/>
          <w:b/>
          <w:color w:val="auto"/>
          <w:sz w:val="36"/>
          <w:szCs w:val="36"/>
        </w:rPr>
      </w:pPr>
      <w:r>
        <w:rPr>
          <w:rFonts w:hint="eastAsia" w:ascii="宋体" w:hAnsi="宋体" w:cs="宋体"/>
          <w:b/>
          <w:color w:val="auto"/>
          <w:sz w:val="36"/>
          <w:szCs w:val="36"/>
        </w:rPr>
        <w:t>福建省</w:t>
      </w:r>
      <w:r>
        <w:rPr>
          <w:rFonts w:hint="default" w:ascii="宋体" w:hAnsi="宋体" w:cs="宋体"/>
          <w:b/>
          <w:color w:val="auto"/>
          <w:sz w:val="36"/>
          <w:szCs w:val="36"/>
        </w:rPr>
        <w:t>设区市</w:t>
      </w:r>
      <w:r>
        <w:rPr>
          <w:rFonts w:hint="eastAsia" w:ascii="宋体" w:hAnsi="宋体" w:cs="宋体"/>
          <w:b/>
          <w:color w:val="auto"/>
          <w:sz w:val="36"/>
          <w:szCs w:val="36"/>
          <w:lang w:eastAsia="zh-CN"/>
        </w:rPr>
        <w:t>人社部门</w:t>
      </w:r>
      <w:r>
        <w:rPr>
          <w:rFonts w:hint="eastAsia" w:ascii="宋体" w:hAnsi="宋体" w:cs="宋体"/>
          <w:b/>
          <w:color w:val="auto"/>
          <w:sz w:val="36"/>
          <w:szCs w:val="36"/>
        </w:rPr>
        <w:t>联系表</w:t>
      </w:r>
    </w:p>
    <w:tbl>
      <w:tblPr>
        <w:tblStyle w:val="4"/>
        <w:tblpPr w:leftFromText="180" w:rightFromText="180" w:vertAnchor="text" w:horzAnchor="page" w:tblpX="1741" w:tblpY="42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30"/>
        <w:gridCol w:w="1988"/>
        <w:gridCol w:w="2182"/>
        <w:gridCol w:w="5442"/>
        <w:gridCol w:w="13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26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  <w:t>单位名称</w:t>
            </w:r>
          </w:p>
        </w:tc>
        <w:tc>
          <w:tcPr>
            <w:tcW w:w="19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  <w:t>联系电话</w:t>
            </w:r>
          </w:p>
        </w:tc>
        <w:tc>
          <w:tcPr>
            <w:tcW w:w="218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  <w:t>传真号码</w:t>
            </w:r>
          </w:p>
        </w:tc>
        <w:tc>
          <w:tcPr>
            <w:tcW w:w="54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  <w:t>联系地址</w:t>
            </w:r>
          </w:p>
        </w:tc>
        <w:tc>
          <w:tcPr>
            <w:tcW w:w="13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  <w:t>邮政编码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26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福州市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  <w:lang w:eastAsia="zh-CN"/>
              </w:rPr>
              <w:t>人社局</w:t>
            </w:r>
          </w:p>
        </w:tc>
        <w:tc>
          <w:tcPr>
            <w:tcW w:w="19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0591-83337727</w:t>
            </w:r>
          </w:p>
        </w:tc>
        <w:tc>
          <w:tcPr>
            <w:tcW w:w="218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0591-83337727</w:t>
            </w:r>
          </w:p>
        </w:tc>
        <w:tc>
          <w:tcPr>
            <w:tcW w:w="54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sz w:val="24"/>
              </w:rPr>
              <w:t>福建省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福州市仓山区南江滨西大道193号东部办公区1#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>7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01室</w:t>
            </w:r>
          </w:p>
        </w:tc>
        <w:tc>
          <w:tcPr>
            <w:tcW w:w="13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350001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26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漳州市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  <w:lang w:eastAsia="zh-CN"/>
              </w:rPr>
              <w:t>人社局就业科</w:t>
            </w:r>
          </w:p>
        </w:tc>
        <w:tc>
          <w:tcPr>
            <w:tcW w:w="19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0596-2024423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0596-2021505</w:t>
            </w:r>
          </w:p>
        </w:tc>
        <w:tc>
          <w:tcPr>
            <w:tcW w:w="218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0596-2024423</w:t>
            </w:r>
          </w:p>
        </w:tc>
        <w:tc>
          <w:tcPr>
            <w:tcW w:w="54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 w:bidi="ar"/>
              </w:rPr>
              <w:t>福建省</w:t>
            </w:r>
            <w:r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漳州市芗城区漳福路44号2号楼漳州市人社局1楼104</w:t>
            </w:r>
          </w:p>
        </w:tc>
        <w:tc>
          <w:tcPr>
            <w:tcW w:w="13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363000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泉州市就业和人才人事公共服务中心</w:t>
            </w:r>
          </w:p>
        </w:tc>
        <w:tc>
          <w:tcPr>
            <w:tcW w:w="19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120" w:firstLineChars="5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0595-28133660</w:t>
            </w:r>
          </w:p>
        </w:tc>
        <w:tc>
          <w:tcPr>
            <w:tcW w:w="218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240" w:firstLineChars="10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0595-22377625</w:t>
            </w:r>
          </w:p>
        </w:tc>
        <w:tc>
          <w:tcPr>
            <w:tcW w:w="54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福建省泉州市丰泽区东海大厦B栋1003室</w:t>
            </w:r>
          </w:p>
        </w:tc>
        <w:tc>
          <w:tcPr>
            <w:tcW w:w="13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362000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莆田市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人社局</w:t>
            </w:r>
          </w:p>
        </w:tc>
        <w:tc>
          <w:tcPr>
            <w:tcW w:w="19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0594-2289933</w:t>
            </w:r>
          </w:p>
        </w:tc>
        <w:tc>
          <w:tcPr>
            <w:tcW w:w="218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0594-2392879</w:t>
            </w:r>
          </w:p>
        </w:tc>
        <w:tc>
          <w:tcPr>
            <w:tcW w:w="54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福建省莆田市城厢区荔城中大道2169号莆田市人民政府办公楼1号楼651室</w:t>
            </w:r>
          </w:p>
        </w:tc>
        <w:tc>
          <w:tcPr>
            <w:tcW w:w="13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351100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三明市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  <w:lang w:eastAsia="zh-CN"/>
              </w:rPr>
              <w:t>人社局</w:t>
            </w:r>
          </w:p>
        </w:tc>
        <w:tc>
          <w:tcPr>
            <w:tcW w:w="19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0598-7506621</w:t>
            </w:r>
          </w:p>
        </w:tc>
        <w:tc>
          <w:tcPr>
            <w:tcW w:w="218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0598-7506675</w:t>
            </w:r>
          </w:p>
        </w:tc>
        <w:tc>
          <w:tcPr>
            <w:tcW w:w="54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sz w:val="24"/>
              </w:rPr>
              <w:t xml:space="preserve"> 福建省三明市三元区新市北路杜鹃新村32幢三明市人社局311室</w:t>
            </w:r>
          </w:p>
        </w:tc>
        <w:tc>
          <w:tcPr>
            <w:tcW w:w="13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365000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南平市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  <w:lang w:eastAsia="zh-CN"/>
              </w:rPr>
              <w:t>人事人才公共服务中心</w:t>
            </w:r>
          </w:p>
        </w:tc>
        <w:tc>
          <w:tcPr>
            <w:tcW w:w="19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0599-8858560</w:t>
            </w:r>
          </w:p>
        </w:tc>
        <w:tc>
          <w:tcPr>
            <w:tcW w:w="218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>-</w:t>
            </w:r>
          </w:p>
        </w:tc>
        <w:tc>
          <w:tcPr>
            <w:tcW w:w="54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sz w:val="24"/>
              </w:rPr>
              <w:t>福建省南平市建阳区童游街道翠屏路2号南平市政务服务中心四楼四区473室</w:t>
            </w:r>
          </w:p>
        </w:tc>
        <w:tc>
          <w:tcPr>
            <w:tcW w:w="13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354200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26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龙岩市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  <w:lang w:eastAsia="zh-CN"/>
              </w:rPr>
              <w:t>公共就业和人才服务中心</w:t>
            </w:r>
          </w:p>
        </w:tc>
        <w:tc>
          <w:tcPr>
            <w:tcW w:w="19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bidi="ar"/>
              </w:rPr>
              <w:t>0597-3298291</w:t>
            </w:r>
          </w:p>
        </w:tc>
        <w:tc>
          <w:tcPr>
            <w:tcW w:w="218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  <w:t>-</w:t>
            </w:r>
          </w:p>
        </w:tc>
        <w:tc>
          <w:tcPr>
            <w:tcW w:w="54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sz w:val="24"/>
              </w:rPr>
              <w:t>福建省龙岩市新罗区金融中心B2栋农业银行大楼14楼1425办公室</w:t>
            </w:r>
          </w:p>
        </w:tc>
        <w:tc>
          <w:tcPr>
            <w:tcW w:w="13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364000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宁德市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人社局</w:t>
            </w:r>
          </w:p>
        </w:tc>
        <w:tc>
          <w:tcPr>
            <w:tcW w:w="19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0593-2868196</w:t>
            </w:r>
          </w:p>
        </w:tc>
        <w:tc>
          <w:tcPr>
            <w:tcW w:w="218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0593-2868196</w:t>
            </w:r>
          </w:p>
        </w:tc>
        <w:tc>
          <w:tcPr>
            <w:tcW w:w="54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sz w:val="24"/>
              </w:rPr>
              <w:t>福建省宁德市蕉城南路42号4楼毕业生就业指导中心</w:t>
            </w:r>
          </w:p>
        </w:tc>
        <w:tc>
          <w:tcPr>
            <w:tcW w:w="13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352100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平潭综合实验区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社会事业局</w:t>
            </w:r>
          </w:p>
        </w:tc>
        <w:tc>
          <w:tcPr>
            <w:tcW w:w="19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0591-38918918</w:t>
            </w:r>
          </w:p>
        </w:tc>
        <w:tc>
          <w:tcPr>
            <w:tcW w:w="218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0591-38918918</w:t>
            </w:r>
          </w:p>
        </w:tc>
        <w:tc>
          <w:tcPr>
            <w:tcW w:w="54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平潭综合实验区航运物流大厦3号楼9层社会保障处一</w:t>
            </w:r>
          </w:p>
        </w:tc>
        <w:tc>
          <w:tcPr>
            <w:tcW w:w="13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350400</w:t>
            </w:r>
          </w:p>
        </w:tc>
      </w:tr>
    </w:tbl>
    <w:p>
      <w:pPr>
        <w:spacing w:line="520" w:lineRule="exact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ind w:left="0" w:leftChars="0" w:right="0" w:rightChars="0" w:firstLine="0" w:firstLineChars="0"/>
        <w:jc w:val="center"/>
        <w:rPr>
          <w:rFonts w:hint="eastAsia" w:asciiTheme="majorEastAsia" w:hAnsiTheme="majorEastAsia" w:eastAsiaTheme="majorEastAsia" w:cstheme="majorEastAsia"/>
          <w:sz w:val="36"/>
          <w:szCs w:val="36"/>
          <w:lang w:val="en-US" w:eastAsia="zh-CN"/>
        </w:rPr>
      </w:pPr>
    </w:p>
    <w:p>
      <w:pPr>
        <w:ind w:left="0" w:leftChars="0" w:right="0" w:rightChars="0" w:firstLine="0" w:firstLineChars="0"/>
        <w:jc w:val="center"/>
        <w:rPr>
          <w:rFonts w:hint="eastAsia" w:asciiTheme="majorEastAsia" w:hAnsiTheme="majorEastAsia" w:eastAsiaTheme="majorEastAsia" w:cstheme="majorEastAsia"/>
          <w:sz w:val="36"/>
          <w:szCs w:val="36"/>
          <w:lang w:val="en-US" w:eastAsia="zh-CN"/>
        </w:rPr>
        <w:sectPr>
          <w:pgSz w:w="16838" w:h="11906" w:orient="landscape"/>
          <w:pgMar w:top="720" w:right="720" w:bottom="720" w:left="720" w:header="851" w:footer="992" w:gutter="0"/>
          <w:cols w:space="425" w:num="1"/>
          <w:docGrid w:type="lines" w:linePitch="312" w:charSpace="0"/>
        </w:sectPr>
      </w:pPr>
    </w:p>
    <w:p>
      <w:pPr>
        <w:ind w:left="0" w:leftChars="0" w:right="0" w:rightChars="0" w:firstLine="0" w:firstLineChars="0"/>
        <w:jc w:val="center"/>
        <w:rPr>
          <w:rFonts w:hint="eastAsia" w:asciiTheme="majorEastAsia" w:hAnsiTheme="majorEastAsia" w:eastAsiaTheme="majorEastAsia" w:cstheme="majorEastAsia"/>
          <w:sz w:val="36"/>
          <w:szCs w:val="3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36"/>
          <w:szCs w:val="36"/>
          <w:lang w:val="en-US" w:eastAsia="zh-CN"/>
        </w:rPr>
        <w:t>2024年高校毕业生“三支一扶”计划院校审核流程</w:t>
      </w:r>
    </w:p>
    <w:p>
      <w:pPr>
        <w:ind w:left="0" w:leftChars="0" w:right="0" w:rightChars="0" w:firstLine="0" w:firstLineChars="0"/>
        <w:jc w:val="center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</w:p>
    <w:p>
      <w:pPr>
        <w:ind w:left="0" w:leftChars="0" w:right="0" w:rightChars="0" w:firstLine="0" w:firstLineChars="0"/>
        <w:jc w:val="center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步骤1.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登录福建就业网三支一扶专区（网址：https://www.fj99.org.cn/bys/），进入报名审核，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选择年份为2024年，申报项目类别“三支一扶”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，移动右侧工具条，可查询其他功能键</w:t>
      </w:r>
    </w:p>
    <w:p>
      <w:pPr>
        <w:keepNext w:val="0"/>
        <w:keepLines w:val="0"/>
        <w:widowControl/>
        <w:suppressLineNumbers w:val="0"/>
        <w:jc w:val="left"/>
      </w:pPr>
      <w:r>
        <w:drawing>
          <wp:inline distT="0" distB="0" distL="114300" distR="114300">
            <wp:extent cx="6645275" cy="1220470"/>
            <wp:effectExtent l="0" t="0" r="3175" b="177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275" cy="1220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0" w:leftChars="0" w:right="0" w:rightChars="0" w:firstLine="0" w:firstLineChars="0"/>
        <w:jc w:val="center"/>
      </w:pPr>
      <w:r>
        <w:drawing>
          <wp:inline distT="0" distB="0" distL="114300" distR="114300">
            <wp:extent cx="6637655" cy="1057275"/>
            <wp:effectExtent l="0" t="0" r="1079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3765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0" w:leftChars="0" w:right="0" w:rightChars="0" w:firstLine="0" w:firstLineChars="0"/>
        <w:jc w:val="center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步骤2.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根据《福建省2024年“三支一扶”计划省内高校毕业生审核办法》进行资格审查，审查结果分为：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资格审查通过、不通过、退回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。未评分前可对已进行的资格审查操作进行撤销</w:t>
      </w:r>
      <w:r>
        <w:drawing>
          <wp:inline distT="0" distB="0" distL="114300" distR="114300">
            <wp:extent cx="5933440" cy="1933575"/>
            <wp:effectExtent l="0" t="0" r="10160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33440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0" w:leftChars="0" w:right="0" w:rightChars="0" w:firstLine="0" w:firstLineChars="0"/>
        <w:jc w:val="center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</w:p>
    <w:p>
      <w:pPr>
        <w:ind w:left="0" w:leftChars="0" w:right="0" w:rightChars="0" w:firstLine="0" w:firstLineChars="0"/>
        <w:jc w:val="center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</w:p>
    <w:p>
      <w:pPr>
        <w:ind w:left="0" w:leftChars="0" w:right="0" w:rightChars="0" w:firstLine="0" w:firstLineChars="0"/>
        <w:jc w:val="center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</w:p>
    <w:p>
      <w:pPr>
        <w:ind w:left="0" w:leftChars="0" w:right="0" w:rightChars="0" w:firstLine="0" w:firstLineChars="0"/>
        <w:jc w:val="center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</w:p>
    <w:p>
      <w:pPr>
        <w:ind w:left="0" w:leftChars="0" w:right="0" w:rightChars="0" w:firstLine="0" w:firstLineChars="0"/>
        <w:jc w:val="center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</w:p>
    <w:p>
      <w:pPr>
        <w:ind w:left="0" w:leftChars="0" w:right="0" w:rightChars="0" w:firstLine="0" w:firstLineChars="0"/>
        <w:jc w:val="center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</w:p>
    <w:p>
      <w:pPr>
        <w:ind w:left="0" w:leftChars="0" w:right="0" w:rightChars="0" w:firstLine="0" w:firstLineChars="0"/>
        <w:jc w:val="center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步骤3.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根据《福建省2024年“三支一扶”计划省内高校毕业生审核办法》对资格审查通过的报名人员进行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评分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，评分后点击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审核通过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，报名人员资格审查和评分情况将提交至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报名岗位所设区市人社部门复核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6306185" cy="1259840"/>
            <wp:effectExtent l="0" t="0" r="18415" b="16510"/>
            <wp:docPr id="7" name="图片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306185" cy="12598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ind w:left="0" w:leftChars="0" w:right="0" w:rightChars="0" w:firstLine="0" w:firstLineChars="0"/>
        <w:jc w:val="center"/>
      </w:pPr>
    </w:p>
    <w:p>
      <w:pPr>
        <w:ind w:left="0" w:leftChars="0" w:right="0" w:rightChars="0" w:firstLine="0" w:firstLineChars="0"/>
        <w:jc w:val="center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步骤4.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如经各设区人社部门复核后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退回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的报名人员信息，可在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操作日志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查看退回原因。如需院校退回报名人员，应先进行审查撤销，再做资格审查退回。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报名人员重新提交后，院校均要重新点击评分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后再审核通过。</w:t>
      </w:r>
    </w:p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6574155" cy="1297940"/>
            <wp:effectExtent l="0" t="0" r="17145" b="16510"/>
            <wp:docPr id="10" name="图片 1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574155" cy="12979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0" w:leftChars="0" w:right="0" w:rightChars="0" w:firstLine="0" w:firstLineChars="0"/>
        <w:jc w:val="center"/>
        <w:rPr>
          <w:rFonts w:hint="default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yNzUwMjg0MWMzMzA5NmY1OWM1N2FkMDNhY2U3YmQifQ=="/>
  </w:docVars>
  <w:rsids>
    <w:rsidRoot w:val="51E0662D"/>
    <w:rsid w:val="00363602"/>
    <w:rsid w:val="066A3245"/>
    <w:rsid w:val="12355482"/>
    <w:rsid w:val="17F83B8D"/>
    <w:rsid w:val="1AC47C9F"/>
    <w:rsid w:val="234E570B"/>
    <w:rsid w:val="244074EF"/>
    <w:rsid w:val="27214CF8"/>
    <w:rsid w:val="2B057DE9"/>
    <w:rsid w:val="2D953E3F"/>
    <w:rsid w:val="2FF9197A"/>
    <w:rsid w:val="3BB344FC"/>
    <w:rsid w:val="3E3F6086"/>
    <w:rsid w:val="3F191C2E"/>
    <w:rsid w:val="421C0E1C"/>
    <w:rsid w:val="457E6EDA"/>
    <w:rsid w:val="47CC0F12"/>
    <w:rsid w:val="51E0662D"/>
    <w:rsid w:val="5B7A1258"/>
    <w:rsid w:val="5BDB5828"/>
    <w:rsid w:val="609E3BDA"/>
    <w:rsid w:val="64792D86"/>
    <w:rsid w:val="697F42F7"/>
    <w:rsid w:val="719277AD"/>
    <w:rsid w:val="73F4755D"/>
    <w:rsid w:val="7698213B"/>
    <w:rsid w:val="77ED40F3"/>
    <w:rsid w:val="787E087B"/>
    <w:rsid w:val="78991159"/>
    <w:rsid w:val="7CA001F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362</Words>
  <Characters>399</Characters>
  <Lines>0</Lines>
  <Paragraphs>0</Paragraphs>
  <TotalTime>0</TotalTime>
  <ScaleCrop>false</ScaleCrop>
  <LinksUpToDate>false</LinksUpToDate>
  <CharactersWithSpaces>399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2021-04-16T08:01:00Z</dcterms:created>
  <dc:creator>游风</dc:creator>
  <cp:lastModifiedBy>叶</cp:lastModifiedBy>
  <cp:lastPrinted>2021-04-27T07:26:00Z</cp:lastPrinted>
  <dcterms:modified xsi:type="dcterms:W3CDTF">2024-03-29T09:51:52Z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DF25B984A8D44A14B9F0AD90A74D06B8_12</vt:lpwstr>
  </property>
</Properties>
</file>