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036" w:type="dxa"/>
        <w:jc w:val="center"/>
        <w:tblLayout w:type="autofit"/>
        <w:tblCellMar>
          <w:top w:w="0" w:type="dxa"/>
          <w:left w:w="108" w:type="dxa"/>
          <w:bottom w:w="0" w:type="dxa"/>
          <w:right w:w="108" w:type="dxa"/>
        </w:tblCellMar>
      </w:tblPr>
      <w:tblGrid>
        <w:gridCol w:w="426"/>
        <w:gridCol w:w="426"/>
        <w:gridCol w:w="426"/>
        <w:gridCol w:w="426"/>
        <w:gridCol w:w="3522"/>
        <w:gridCol w:w="1571"/>
        <w:gridCol w:w="706"/>
        <w:gridCol w:w="2536"/>
        <w:gridCol w:w="636"/>
        <w:gridCol w:w="801"/>
        <w:gridCol w:w="1561"/>
      </w:tblGrid>
      <w:tr>
        <w:tblPrEx>
          <w:tblCellMar>
            <w:top w:w="0" w:type="dxa"/>
            <w:left w:w="108" w:type="dxa"/>
            <w:bottom w:w="0" w:type="dxa"/>
            <w:right w:w="108" w:type="dxa"/>
          </w:tblCellMar>
        </w:tblPrEx>
        <w:trPr>
          <w:trHeight w:val="255" w:hRule="atLeast"/>
          <w:jc w:val="center"/>
        </w:trPr>
        <w:tc>
          <w:tcPr>
            <w:tcW w:w="851" w:type="dxa"/>
            <w:gridSpan w:val="2"/>
            <w:tcBorders>
              <w:top w:val="nil"/>
              <w:left w:val="nil"/>
              <w:bottom w:val="nil"/>
              <w:right w:val="nil"/>
            </w:tcBorders>
            <w:shd w:val="clear" w:color="auto" w:fill="auto"/>
            <w:vAlign w:val="bottom"/>
          </w:tcPr>
          <w:p>
            <w:pPr>
              <w:rPr>
                <w:rFonts w:ascii="黑体" w:hAnsi="黑体" w:eastAsia="黑体" w:cs="Tahoma"/>
                <w:color w:val="000000"/>
                <w:sz w:val="24"/>
                <w:szCs w:val="24"/>
              </w:rPr>
            </w:pPr>
            <w:r>
              <w:rPr>
                <w:rFonts w:hint="eastAsia" w:ascii="黑体" w:hAnsi="黑体" w:eastAsia="黑体" w:cs="Tahoma"/>
                <w:color w:val="000000"/>
                <w:sz w:val="24"/>
                <w:szCs w:val="24"/>
              </w:rPr>
              <w:t>附件1</w:t>
            </w:r>
          </w:p>
        </w:tc>
        <w:tc>
          <w:tcPr>
            <w:tcW w:w="426" w:type="dxa"/>
            <w:tcBorders>
              <w:top w:val="nil"/>
              <w:left w:val="nil"/>
              <w:bottom w:val="nil"/>
              <w:right w:val="nil"/>
            </w:tcBorders>
            <w:shd w:val="clear" w:color="auto" w:fill="auto"/>
            <w:vAlign w:val="bottom"/>
          </w:tcPr>
          <w:p>
            <w:pPr>
              <w:rPr>
                <w:rFonts w:eastAsia="宋体" w:cs="Tahoma"/>
                <w:color w:val="000000"/>
              </w:rPr>
            </w:pPr>
          </w:p>
        </w:tc>
        <w:tc>
          <w:tcPr>
            <w:tcW w:w="426" w:type="dxa"/>
            <w:tcBorders>
              <w:top w:val="nil"/>
              <w:left w:val="nil"/>
              <w:bottom w:val="nil"/>
              <w:right w:val="nil"/>
            </w:tcBorders>
            <w:shd w:val="clear" w:color="auto" w:fill="auto"/>
            <w:vAlign w:val="bottom"/>
          </w:tcPr>
          <w:p>
            <w:pPr>
              <w:rPr>
                <w:rFonts w:eastAsia="宋体" w:cs="Tahoma"/>
                <w:color w:val="000000"/>
              </w:rPr>
            </w:pPr>
          </w:p>
        </w:tc>
        <w:tc>
          <w:tcPr>
            <w:tcW w:w="3522" w:type="dxa"/>
            <w:tcBorders>
              <w:top w:val="nil"/>
              <w:left w:val="nil"/>
              <w:bottom w:val="nil"/>
              <w:right w:val="nil"/>
            </w:tcBorders>
            <w:shd w:val="clear" w:color="auto" w:fill="auto"/>
            <w:noWrap/>
            <w:vAlign w:val="bottom"/>
          </w:tcPr>
          <w:p>
            <w:pPr>
              <w:rPr>
                <w:rFonts w:eastAsia="宋体" w:cs="Tahoma"/>
                <w:color w:val="000000"/>
              </w:rPr>
            </w:pPr>
          </w:p>
        </w:tc>
        <w:tc>
          <w:tcPr>
            <w:tcW w:w="1571" w:type="dxa"/>
            <w:tcBorders>
              <w:top w:val="nil"/>
              <w:left w:val="nil"/>
              <w:bottom w:val="nil"/>
              <w:right w:val="nil"/>
            </w:tcBorders>
            <w:shd w:val="clear" w:color="auto" w:fill="auto"/>
            <w:noWrap/>
            <w:vAlign w:val="bottom"/>
          </w:tcPr>
          <w:p>
            <w:pPr>
              <w:rPr>
                <w:rFonts w:eastAsia="宋体" w:cs="Tahoma"/>
                <w:color w:val="000000"/>
              </w:rPr>
            </w:pPr>
          </w:p>
        </w:tc>
        <w:tc>
          <w:tcPr>
            <w:tcW w:w="706" w:type="dxa"/>
            <w:tcBorders>
              <w:top w:val="nil"/>
              <w:left w:val="nil"/>
              <w:bottom w:val="nil"/>
              <w:right w:val="nil"/>
            </w:tcBorders>
            <w:shd w:val="clear" w:color="auto" w:fill="auto"/>
            <w:noWrap/>
            <w:vAlign w:val="bottom"/>
          </w:tcPr>
          <w:p>
            <w:pPr>
              <w:rPr>
                <w:rFonts w:eastAsia="宋体" w:cs="Tahoma"/>
                <w:color w:val="000000"/>
              </w:rPr>
            </w:pPr>
          </w:p>
        </w:tc>
        <w:tc>
          <w:tcPr>
            <w:tcW w:w="2536" w:type="dxa"/>
            <w:tcBorders>
              <w:top w:val="nil"/>
              <w:left w:val="nil"/>
              <w:bottom w:val="nil"/>
              <w:right w:val="nil"/>
            </w:tcBorders>
            <w:shd w:val="clear" w:color="auto" w:fill="auto"/>
            <w:noWrap/>
            <w:vAlign w:val="bottom"/>
          </w:tcPr>
          <w:p>
            <w:pPr>
              <w:rPr>
                <w:rFonts w:eastAsia="宋体" w:cs="Tahoma"/>
                <w:color w:val="000000"/>
              </w:rPr>
            </w:pPr>
          </w:p>
        </w:tc>
        <w:tc>
          <w:tcPr>
            <w:tcW w:w="636" w:type="dxa"/>
            <w:tcBorders>
              <w:top w:val="nil"/>
              <w:left w:val="nil"/>
              <w:bottom w:val="nil"/>
              <w:right w:val="nil"/>
            </w:tcBorders>
            <w:shd w:val="clear" w:color="auto" w:fill="auto"/>
            <w:noWrap/>
            <w:vAlign w:val="bottom"/>
          </w:tcPr>
          <w:p>
            <w:pPr>
              <w:rPr>
                <w:rFonts w:eastAsia="宋体" w:cs="Tahoma"/>
                <w:color w:val="000000"/>
              </w:rPr>
            </w:pPr>
          </w:p>
        </w:tc>
        <w:tc>
          <w:tcPr>
            <w:tcW w:w="801" w:type="dxa"/>
            <w:tcBorders>
              <w:top w:val="nil"/>
              <w:left w:val="nil"/>
              <w:bottom w:val="nil"/>
              <w:right w:val="nil"/>
            </w:tcBorders>
            <w:shd w:val="clear" w:color="auto" w:fill="auto"/>
            <w:noWrap/>
            <w:vAlign w:val="bottom"/>
          </w:tcPr>
          <w:p>
            <w:pPr>
              <w:rPr>
                <w:rFonts w:eastAsia="宋体" w:cs="Tahoma"/>
                <w:color w:val="000000"/>
              </w:rPr>
            </w:pPr>
          </w:p>
        </w:tc>
        <w:tc>
          <w:tcPr>
            <w:tcW w:w="1561" w:type="dxa"/>
            <w:tcBorders>
              <w:top w:val="nil"/>
              <w:left w:val="nil"/>
              <w:bottom w:val="nil"/>
              <w:right w:val="nil"/>
            </w:tcBorders>
            <w:shd w:val="clear" w:color="auto" w:fill="auto"/>
            <w:noWrap/>
            <w:vAlign w:val="bottom"/>
          </w:tcPr>
          <w:p>
            <w:pPr>
              <w:rPr>
                <w:rFonts w:eastAsia="宋体" w:cs="Tahoma"/>
                <w:color w:val="000000"/>
              </w:rPr>
            </w:pPr>
          </w:p>
        </w:tc>
      </w:tr>
      <w:tr>
        <w:tblPrEx>
          <w:tblCellMar>
            <w:top w:w="0" w:type="dxa"/>
            <w:left w:w="108" w:type="dxa"/>
            <w:bottom w:w="0" w:type="dxa"/>
            <w:right w:w="108" w:type="dxa"/>
          </w:tblCellMar>
        </w:tblPrEx>
        <w:trPr>
          <w:trHeight w:val="577" w:hRule="atLeast"/>
          <w:jc w:val="center"/>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序号</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聘任单位</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职位名称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聘任名额</w:t>
            </w:r>
          </w:p>
        </w:tc>
        <w:tc>
          <w:tcPr>
            <w:tcW w:w="3522"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职位职责</w:t>
            </w:r>
          </w:p>
        </w:tc>
        <w:tc>
          <w:tcPr>
            <w:tcW w:w="1571"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学历学位条件</w:t>
            </w:r>
          </w:p>
        </w:tc>
        <w:tc>
          <w:tcPr>
            <w:tcW w:w="70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专业要求</w:t>
            </w:r>
          </w:p>
        </w:tc>
        <w:tc>
          <w:tcPr>
            <w:tcW w:w="253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其他资格条件</w:t>
            </w:r>
          </w:p>
        </w:tc>
        <w:tc>
          <w:tcPr>
            <w:tcW w:w="63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聘任期限</w:t>
            </w:r>
          </w:p>
        </w:tc>
        <w:tc>
          <w:tcPr>
            <w:tcW w:w="801"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薪酬待遇</w:t>
            </w:r>
          </w:p>
        </w:tc>
        <w:tc>
          <w:tcPr>
            <w:tcW w:w="1561"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ahoma"/>
                <w:color w:val="000000"/>
              </w:rPr>
            </w:pPr>
            <w:r>
              <w:rPr>
                <w:rFonts w:hint="eastAsia" w:ascii="黑体" w:hAnsi="黑体" w:eastAsia="黑体" w:cs="Tahoma"/>
                <w:color w:val="000000"/>
              </w:rPr>
              <w:t>报名咨询电话</w:t>
            </w:r>
          </w:p>
        </w:tc>
      </w:tr>
      <w:tr>
        <w:tblPrEx>
          <w:tblCellMar>
            <w:top w:w="0" w:type="dxa"/>
            <w:left w:w="108" w:type="dxa"/>
            <w:bottom w:w="0" w:type="dxa"/>
            <w:right w:w="108" w:type="dxa"/>
          </w:tblCellMar>
        </w:tblPrEx>
        <w:trPr>
          <w:trHeight w:val="5879" w:hRule="atLeast"/>
          <w:jc w:val="center"/>
        </w:trPr>
        <w:tc>
          <w:tcPr>
            <w:tcW w:w="42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新乡市应急管理局</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防汛抗旱应急工程师</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1</w:t>
            </w:r>
          </w:p>
        </w:tc>
        <w:tc>
          <w:tcPr>
            <w:tcW w:w="3522" w:type="dxa"/>
            <w:tcBorders>
              <w:top w:val="nil"/>
              <w:left w:val="nil"/>
              <w:bottom w:val="single" w:color="auto" w:sz="4" w:space="0"/>
              <w:right w:val="single" w:color="auto" w:sz="4" w:space="0"/>
            </w:tcBorders>
            <w:shd w:val="clear" w:color="auto" w:fill="auto"/>
            <w:vAlign w:val="center"/>
          </w:tcPr>
          <w:p>
            <w:pPr>
              <w:rPr>
                <w:rFonts w:ascii="仿宋_GB2312" w:eastAsia="仿宋_GB2312" w:cs="Tahoma"/>
                <w:color w:val="000000"/>
              </w:rPr>
            </w:pPr>
            <w:r>
              <w:rPr>
                <w:rFonts w:hint="eastAsia" w:ascii="仿宋_GB2312" w:eastAsia="仿宋_GB2312" w:cs="Tahoma"/>
                <w:color w:val="000000"/>
              </w:rPr>
              <w:t>1.牵头调研新乡市基层防汛应急能力建设现状，拟制新乡市基层防汛应急能力建设发展规划；</w:t>
            </w:r>
          </w:p>
          <w:p>
            <w:pPr>
              <w:rPr>
                <w:rFonts w:ascii="仿宋_GB2312" w:eastAsia="仿宋_GB2312" w:cs="Tahoma"/>
                <w:color w:val="000000"/>
              </w:rPr>
            </w:pPr>
            <w:r>
              <w:rPr>
                <w:rFonts w:hint="eastAsia" w:ascii="仿宋_GB2312" w:eastAsia="仿宋_GB2312" w:cs="Tahoma"/>
                <w:color w:val="000000"/>
              </w:rPr>
              <w:t>2.分析研判国内外防汛抗旱应急指挥前沿动态，负责牵头制定或修订新乡市防汛抗旱应急预案和指挥部运行机制并组织评审；</w:t>
            </w:r>
          </w:p>
          <w:p>
            <w:pPr>
              <w:rPr>
                <w:rFonts w:ascii="仿宋_GB2312" w:eastAsia="仿宋_GB2312" w:cs="Tahoma"/>
                <w:color w:val="000000"/>
              </w:rPr>
            </w:pPr>
            <w:r>
              <w:rPr>
                <w:rFonts w:hint="eastAsia" w:ascii="仿宋_GB2312" w:eastAsia="仿宋_GB2312" w:cs="Tahoma"/>
                <w:color w:val="000000"/>
              </w:rPr>
              <w:t>3.建设防汛应急预案智能管理平台，加强预案配套工作手册、行动方案等支撑性文件的编制管理和实施；</w:t>
            </w:r>
          </w:p>
          <w:p>
            <w:pPr>
              <w:rPr>
                <w:rFonts w:ascii="仿宋_GB2312" w:eastAsia="仿宋_GB2312" w:cs="Tahoma"/>
                <w:color w:val="000000"/>
              </w:rPr>
            </w:pPr>
            <w:r>
              <w:rPr>
                <w:rFonts w:hint="eastAsia" w:ascii="仿宋_GB2312" w:eastAsia="仿宋_GB2312" w:cs="Tahoma"/>
                <w:color w:val="000000"/>
              </w:rPr>
              <w:t>4.参与防汛应急指挥信息化建设，为基于“一张图”的“智慧防汛”指挥平台开发、运用提供技术指导；</w:t>
            </w:r>
          </w:p>
          <w:p>
            <w:pPr>
              <w:rPr>
                <w:rFonts w:ascii="仿宋_GB2312" w:eastAsia="仿宋_GB2312" w:cs="Tahoma"/>
                <w:color w:val="000000"/>
              </w:rPr>
            </w:pPr>
            <w:r>
              <w:rPr>
                <w:rFonts w:hint="eastAsia" w:ascii="仿宋_GB2312" w:eastAsia="仿宋_GB2312" w:cs="Tahoma"/>
                <w:color w:val="000000"/>
              </w:rPr>
              <w:t>5.牵头组织我市水旱灾害风险普查工作，建立分类型、分区域的水旱灾害综合风险与防治资源基础数据库，编制市县乡水旱风险评估与综合防治区划图。</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博士研究生学历并取得学位，且研究生阶段就读学校为“985”、“211”或“双一流”大学（含学科）或世界排名前100大学（四大榜单）</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不限专业</w:t>
            </w:r>
          </w:p>
        </w:tc>
        <w:tc>
          <w:tcPr>
            <w:tcW w:w="2536" w:type="dxa"/>
            <w:tcBorders>
              <w:top w:val="nil"/>
              <w:left w:val="nil"/>
              <w:bottom w:val="single" w:color="auto" w:sz="4" w:space="0"/>
              <w:right w:val="single" w:color="auto" w:sz="4" w:space="0"/>
            </w:tcBorders>
            <w:shd w:val="clear" w:color="auto" w:fill="auto"/>
            <w:vAlign w:val="center"/>
          </w:tcPr>
          <w:p>
            <w:pPr>
              <w:rPr>
                <w:rFonts w:ascii="仿宋_GB2312" w:eastAsia="仿宋_GB2312" w:cs="Tahoma"/>
                <w:color w:val="000000"/>
              </w:rPr>
            </w:pPr>
            <w:r>
              <w:rPr>
                <w:rFonts w:hint="eastAsia" w:ascii="仿宋_GB2312" w:eastAsia="仿宋_GB2312" w:cs="Tahoma"/>
                <w:color w:val="000000"/>
              </w:rPr>
              <w:t>1.</w:t>
            </w:r>
            <w:r>
              <w:rPr>
                <w:rFonts w:hint="eastAsia" w:ascii="仿宋_GB2312" w:eastAsia="仿宋_GB2312" w:cs="Tahoma"/>
                <w:color w:val="000000"/>
                <w:szCs w:val="21"/>
              </w:rPr>
              <w:t>年龄在45周岁以下（1977年6月（含）以后出生），特别优秀的，年龄可适当放</w:t>
            </w:r>
            <w:r>
              <w:rPr>
                <w:rFonts w:hint="eastAsia" w:ascii="仿宋_GB2312" w:eastAsia="仿宋_GB2312" w:cs="Tahoma"/>
                <w:color w:val="000000"/>
              </w:rPr>
              <w:t>宽；                 2.具有水利、城建工程专业副高级及以上职称；            3. 熟悉防汛抗旱应急救援相关政策规范；具有山洪和地质灾害、城市防洪排涝、南水北调中线工程防洪应急处置相关工作经验；制定或参与复盘过防汛抗旱相关应急预案和演练等，对防汛抗旱能力体系建设、科技有一定研究，并在国内核心期刊上发表过相关防汛抗旱论述文章。</w:t>
            </w:r>
          </w:p>
        </w:tc>
        <w:tc>
          <w:tcPr>
            <w:tcW w:w="6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3年（含试用期6个月）</w:t>
            </w:r>
          </w:p>
        </w:tc>
        <w:tc>
          <w:tcPr>
            <w:tcW w:w="8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Tahoma"/>
                <w:color w:val="000000"/>
              </w:rPr>
            </w:pPr>
            <w:r>
              <w:rPr>
                <w:rFonts w:hint="eastAsia" w:ascii="仿宋_GB2312" w:eastAsia="仿宋_GB2312" w:cs="Tahoma"/>
                <w:color w:val="000000"/>
              </w:rPr>
              <w:t>包含年薪和聘期考核奖金两部分，税前年平均薪酬25-30万元</w:t>
            </w:r>
          </w:p>
        </w:tc>
        <w:tc>
          <w:tcPr>
            <w:tcW w:w="1561" w:type="dxa"/>
            <w:tcBorders>
              <w:top w:val="nil"/>
              <w:left w:val="nil"/>
              <w:bottom w:val="single" w:color="auto" w:sz="4" w:space="0"/>
              <w:right w:val="single" w:color="auto" w:sz="4" w:space="0"/>
            </w:tcBorders>
            <w:shd w:val="clear" w:color="auto" w:fill="auto"/>
            <w:vAlign w:val="center"/>
          </w:tcPr>
          <w:p>
            <w:pPr>
              <w:rPr>
                <w:rFonts w:ascii="仿宋_GB2312" w:eastAsia="仿宋_GB2312" w:cs="Tahoma"/>
                <w:color w:val="000000"/>
              </w:rPr>
            </w:pPr>
            <w:r>
              <w:rPr>
                <w:rFonts w:hint="eastAsia" w:ascii="仿宋_GB2312" w:eastAsia="仿宋_GB2312" w:cs="Tahoma"/>
                <w:color w:val="000000"/>
              </w:rPr>
              <w:t>　0373-3051307</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TQ0OWQyZDA0ZjQyNDdjODhhMzUzNWM5MjVhZGQifQ=="/>
  </w:docVars>
  <w:rsids>
    <w:rsidRoot w:val="47892224"/>
    <w:rsid w:val="4789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2023-06-26T09:50:00Z</dcterms:created>
  <dc:creator>张钊</dc:creator>
  <cp:lastModifiedBy>张钊</cp:lastModifiedBy>
  <dcterms:modified xsi:type="dcterms:W3CDTF">2023-06-26T09:51:17Z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875F6CBFF9044CB5ACB3FEC736F22FD6_11</vt:lpwstr>
  </property>
</Properties>
</file>