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秭归县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农业农村局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急需紧缺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人才引进岗位表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141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410"/>
        <w:gridCol w:w="1005"/>
        <w:gridCol w:w="1020"/>
        <w:gridCol w:w="960"/>
        <w:gridCol w:w="1965"/>
        <w:gridCol w:w="2865"/>
        <w:gridCol w:w="1485"/>
        <w:gridCol w:w="1695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岗位描述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岗位所需专业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秭归县果茶发展中心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    技术员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从事茶叶技术推广等相关工作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21" w:rightChars="-1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茶学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、 农艺与种业（茶学方向）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硕士学位及以上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年1月1日及以后出生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F482C"/>
    <w:rsid w:val="4FB8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133</Characters>
  <Lines>0</Lines>
  <Paragraphs>0</Paragraphs>
  <TotalTime>0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2023-06-05T00:33:00Z</dcterms:created>
  <dc:creator>Administrator</dc:creator>
  <cp:lastModifiedBy>放纵。</cp:lastModifiedBy>
  <dcterms:modified xsi:type="dcterms:W3CDTF">2023-06-05T09:04:00Z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0B95866518D44FBCA192E8F631507FE3_13</vt:lpwstr>
  </property>
</Properties>
</file>