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val="0"/>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应聘人员新冠肺炎疫情防控网上告知书</w:t>
      </w:r>
    </w:p>
    <w:p>
      <w:pPr>
        <w:keepNext w:val="0"/>
        <w:keepLines w:val="0"/>
        <w:pageBreakBefore w:val="0"/>
        <w:kinsoku/>
        <w:overflowPunct/>
        <w:topLinePunct w:val="0"/>
        <w:autoSpaceDE/>
        <w:autoSpaceDN/>
        <w:bidi w:val="0"/>
        <w:adjustRightInd w:val="0"/>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暨考生承诺书</w:t>
      </w:r>
    </w:p>
    <w:p>
      <w:pPr>
        <w:keepNext w:val="0"/>
        <w:keepLines w:val="0"/>
        <w:pageBreakBefore w:val="0"/>
        <w:kinsoku/>
        <w:overflowPunct/>
        <w:topLinePunct w:val="0"/>
        <w:autoSpaceDE/>
        <w:autoSpaceDN/>
        <w:bidi w:val="0"/>
        <w:adjustRightInd w:val="0"/>
        <w:snapToGrid w:val="0"/>
        <w:spacing w:line="600" w:lineRule="exact"/>
        <w:ind w:firstLine="640" w:firstLineChars="200"/>
        <w:jc w:val="right"/>
        <w:rPr>
          <w:rFonts w:ascii="仿宋_GB2312" w:eastAsia="仿宋_GB2312"/>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为保障应试人员及考务人员生命安全和身体健康，确保本次招聘考试各环节工作顺利进行，根据湖南省、</w:t>
      </w:r>
      <w:r>
        <w:rPr>
          <w:rFonts w:hint="eastAsia" w:ascii="仿宋_GB2312" w:hAnsi="仿宋_GB2312" w:eastAsia="仿宋_GB2312" w:cs="仿宋_GB2312"/>
          <w:sz w:val="32"/>
          <w:szCs w:val="32"/>
          <w:highlight w:val="none"/>
        </w:rPr>
        <w:t>长沙市</w:t>
      </w:r>
      <w:r>
        <w:rPr>
          <w:rFonts w:hint="eastAsia" w:ascii="仿宋_GB2312" w:hAnsi="仿宋_GB2312" w:eastAsia="仿宋_GB2312" w:cs="仿宋_GB2312"/>
          <w:sz w:val="32"/>
          <w:szCs w:val="32"/>
        </w:rPr>
        <w:t>新冠肺炎疫情防控政策和有关要求，现对即将参加国家电网公司2022年第一批高校毕业生招聘考试（</w:t>
      </w:r>
      <w:r>
        <w:rPr>
          <w:rFonts w:hint="eastAsia" w:ascii="仿宋_GB2312" w:hAnsi="仿宋_GB2312" w:eastAsia="仿宋_GB2312" w:cs="仿宋_GB2312"/>
          <w:sz w:val="32"/>
          <w:szCs w:val="32"/>
          <w:lang w:eastAsia="zh-CN"/>
        </w:rPr>
        <w:t>长沙</w:t>
      </w:r>
      <w:r>
        <w:rPr>
          <w:rFonts w:hint="eastAsia" w:ascii="仿宋_GB2312" w:hAnsi="仿宋_GB2312" w:eastAsia="仿宋_GB2312" w:cs="仿宋_GB2312"/>
          <w:sz w:val="32"/>
          <w:szCs w:val="32"/>
        </w:rPr>
        <w:t>考点）的应聘人员的疫情防控要求告知如下：</w:t>
      </w:r>
    </w:p>
    <w:p>
      <w:pPr>
        <w:keepNext w:val="0"/>
        <w:keepLines w:val="0"/>
        <w:pageBreakBefore w:val="0"/>
        <w:kinsoku/>
        <w:overflowPunct/>
        <w:topLinePunct w:val="0"/>
        <w:autoSpaceDE/>
        <w:autoSpaceDN/>
        <w:bidi w:val="0"/>
        <w:adjustRightInd w:val="0"/>
        <w:snapToGrid w:val="0"/>
        <w:spacing w:line="60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一、应试人员防疫要求</w:t>
      </w:r>
    </w:p>
    <w:p>
      <w:pPr>
        <w:keepNext w:val="0"/>
        <w:keepLines w:val="0"/>
        <w:pageBreakBefore w:val="0"/>
        <w:kinsoku/>
        <w:overflowPunct/>
        <w:topLinePunct w:val="0"/>
        <w:autoSpaceDE/>
        <w:autoSpaceDN/>
        <w:bidi w:val="0"/>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1.健康码、行程卡方面。</w:t>
      </w:r>
      <w:r>
        <w:rPr>
          <w:rFonts w:hint="eastAsia" w:ascii="仿宋_GB2312" w:hAnsi="仿宋_GB2312" w:eastAsia="仿宋_GB2312" w:cs="仿宋_GB2312"/>
          <w:sz w:val="32"/>
          <w:szCs w:val="32"/>
        </w:rPr>
        <w:t>考前须提前查验健康卡和行程卡，通过官方公众号申领湖南省居民电子健康卡和国务院客户端防疫行程卡，经查验“双码”均为绿色者方能参加考试。</w:t>
      </w:r>
      <w:r>
        <w:rPr>
          <w:rFonts w:hint="eastAsia" w:ascii="仿宋_GB2312" w:hAnsi="仿宋_GB2312" w:eastAsia="仿宋_GB2312" w:cs="仿宋_GB2312"/>
          <w:b/>
          <w:bCs/>
          <w:sz w:val="32"/>
          <w:szCs w:val="32"/>
        </w:rPr>
        <w:t>健康卡和行程卡申领方法：</w:t>
      </w:r>
      <w:r>
        <w:rPr>
          <w:rFonts w:hint="eastAsia" w:ascii="仿宋_GB2312" w:hAnsi="仿宋_GB2312" w:eastAsia="仿宋_GB2312" w:cs="仿宋_GB2312"/>
          <w:sz w:val="32"/>
          <w:szCs w:val="32"/>
        </w:rPr>
        <w:t>申领湖南省居民健康卡（第一步，微信关注“湖南省居民健康卡”公众号；第二步，进入公众号后，点击左下角健康卡按钮；第三步，点击添加健康卡，按提示输入相关信息后完成办卡）。申领行程卡（第一步：微信进入“通信行程卡”小程序，获取个人行程卡申请入口。第二步：填写手机号码，进行注册。第三步：生成个人行程卡）</w:t>
      </w:r>
    </w:p>
    <w:p>
      <w:pPr>
        <w:keepNext w:val="0"/>
        <w:keepLines w:val="0"/>
        <w:pageBreakBefore w:val="0"/>
        <w:kinsoku/>
        <w:overflowPunct/>
        <w:topLinePunct w:val="0"/>
        <w:autoSpaceDE/>
        <w:autoSpaceDN/>
        <w:bidi w:val="0"/>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2.旅居史、接触史方面。</w:t>
      </w:r>
      <w:r>
        <w:rPr>
          <w:rFonts w:hint="eastAsia" w:ascii="仿宋_GB2312" w:hAnsi="仿宋_GB2312" w:eastAsia="仿宋_GB2312" w:cs="仿宋_GB2312"/>
          <w:sz w:val="32"/>
          <w:szCs w:val="32"/>
        </w:rPr>
        <w:t>考试前28天内无境外、14天内无国内中高地区风险地区所在地市旅居史的方能参加本轮考试。</w:t>
      </w:r>
    </w:p>
    <w:p>
      <w:pPr>
        <w:keepNext w:val="0"/>
        <w:keepLines w:val="0"/>
        <w:pageBreakBefore w:val="0"/>
        <w:widowControl/>
        <w:kinsoku/>
        <w:overflowPunct/>
        <w:topLinePunct w:val="0"/>
        <w:autoSpaceDE/>
        <w:autoSpaceDN/>
        <w:bidi w:val="0"/>
        <w:adjustRightInd w:val="0"/>
        <w:snapToGrid w:val="0"/>
        <w:spacing w:line="600" w:lineRule="exact"/>
        <w:ind w:firstLine="643"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sz w:val="32"/>
          <w:szCs w:val="32"/>
        </w:rPr>
        <w:t>3.核酸检测方面。资格审查前，</w:t>
      </w:r>
      <w:r>
        <w:rPr>
          <w:rFonts w:hint="eastAsia" w:ascii="仿宋_GB2312" w:hAnsi="仿宋_GB2312" w:eastAsia="仿宋_GB2312" w:cs="仿宋_GB2312"/>
          <w:sz w:val="32"/>
          <w:szCs w:val="32"/>
        </w:rPr>
        <w:t>各位考生均需提供有效的48小时内新冠病毒核酸检测为阴性的报告，方可进入考点进行资格审查。在当地参加检测有困难的，可提前来长检测（按微信小程序—国务院客户端—便民服务—核酸检测机构—地点选择公示的核酸检测点预约）。核酸检测有一定时间周期，请注意提前预约和检测。</w:t>
      </w:r>
      <w:r>
        <w:rPr>
          <w:rFonts w:hint="eastAsia" w:ascii="仿宋_GB2312" w:hAnsi="仿宋_GB2312" w:eastAsia="仿宋_GB2312" w:cs="仿宋_GB2312"/>
          <w:b/>
          <w:bCs/>
          <w:sz w:val="32"/>
          <w:szCs w:val="32"/>
        </w:rPr>
        <w:t>资格审查过程中，</w:t>
      </w:r>
      <w:r>
        <w:rPr>
          <w:rFonts w:hint="eastAsia" w:ascii="仿宋_GB2312" w:hAnsi="仿宋_GB2312" w:eastAsia="仿宋_GB2312" w:cs="仿宋_GB2312"/>
          <w:kern w:val="0"/>
          <w:sz w:val="32"/>
          <w:szCs w:val="32"/>
        </w:rPr>
        <w:t>我公司会统一组织进行一次</w:t>
      </w:r>
      <w:r>
        <w:rPr>
          <w:rFonts w:hint="eastAsia" w:ascii="仿宋_GB2312" w:hAnsi="仿宋_GB2312" w:eastAsia="仿宋_GB2312" w:cs="仿宋_GB2312"/>
          <w:kern w:val="0"/>
          <w:sz w:val="32"/>
          <w:szCs w:val="32"/>
          <w:lang w:eastAsia="zh-CN"/>
        </w:rPr>
        <w:t>核酸</w:t>
      </w:r>
      <w:r>
        <w:rPr>
          <w:rFonts w:hint="eastAsia" w:ascii="仿宋_GB2312" w:hAnsi="仿宋_GB2312" w:eastAsia="仿宋_GB2312" w:cs="仿宋_GB2312"/>
          <w:kern w:val="0"/>
          <w:sz w:val="32"/>
          <w:szCs w:val="32"/>
        </w:rPr>
        <w:t>检测，用于考试当日备案。</w:t>
      </w:r>
    </w:p>
    <w:p>
      <w:pPr>
        <w:keepNext w:val="0"/>
        <w:keepLines w:val="0"/>
        <w:pageBreakBefore w:val="0"/>
        <w:kinsoku/>
        <w:overflowPunct/>
        <w:topLinePunct w:val="0"/>
        <w:autoSpaceDE/>
        <w:autoSpaceDN/>
        <w:bidi w:val="0"/>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4.体温和健康要求。</w:t>
      </w:r>
      <w:r>
        <w:rPr>
          <w:rFonts w:hint="eastAsia" w:ascii="仿宋_GB2312" w:hAnsi="仿宋_GB2312" w:eastAsia="仿宋_GB2312" w:cs="仿宋_GB2312"/>
          <w:sz w:val="32"/>
          <w:szCs w:val="32"/>
        </w:rPr>
        <w:t>在资格审查、笔试以及面试时，经现场体温检测低于37.3℃、无干咳等异常症状的考生，签署《身体健康状况承诺书》，方可进入考点参加考试。</w:t>
      </w:r>
    </w:p>
    <w:p>
      <w:pPr>
        <w:keepNext w:val="0"/>
        <w:keepLines w:val="0"/>
        <w:pageBreakBefore w:val="0"/>
        <w:kinsoku/>
        <w:overflowPunct/>
        <w:topLinePunct w:val="0"/>
        <w:autoSpaceDE/>
        <w:autoSpaceDN/>
        <w:bidi w:val="0"/>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5.感染后痊愈方面。</w:t>
      </w:r>
      <w:r>
        <w:rPr>
          <w:rFonts w:hint="eastAsia" w:ascii="仿宋_GB2312" w:hAnsi="仿宋_GB2312" w:eastAsia="仿宋_GB2312" w:cs="仿宋_GB2312"/>
          <w:sz w:val="32"/>
          <w:szCs w:val="32"/>
        </w:rPr>
        <w:t>曾被确诊为新冠肺炎确诊病例、疑似病例、无症状感染者，现已痊愈的考生，需提供出院证明、复查正常结果、解除隔离告知书参加考试。</w:t>
      </w:r>
    </w:p>
    <w:p>
      <w:pPr>
        <w:keepNext w:val="0"/>
        <w:keepLines w:val="0"/>
        <w:pageBreakBefore w:val="0"/>
        <w:kinsoku/>
        <w:overflowPunct/>
        <w:topLinePunct w:val="0"/>
        <w:autoSpaceDE/>
        <w:autoSpaceDN/>
        <w:bidi w:val="0"/>
        <w:adjustRightInd w:val="0"/>
        <w:snapToGrid w:val="0"/>
        <w:spacing w:line="60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二、应试人员突发状况处理</w:t>
      </w:r>
    </w:p>
    <w:p>
      <w:pPr>
        <w:keepNext w:val="0"/>
        <w:keepLines w:val="0"/>
        <w:pageBreakBefore w:val="0"/>
        <w:kinsoku/>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1.考试任一环节有发热、咳嗽等的疑似症状的，服从现场考务人员转运至临时隔离点。经现场医务人员排查后确定无需进一步排查的，转移到备用考室；如需进一步排查的，转移到定点医院排查诊治。</w:t>
      </w:r>
    </w:p>
    <w:p>
      <w:pPr>
        <w:keepNext w:val="0"/>
        <w:keepLines w:val="0"/>
        <w:pageBreakBefore w:val="0"/>
        <w:kinsoku/>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2.考试任一环节查验“双码”非绿码的、有相关涉疫旅居史、接触史的，取消本次考试资格，不得进入考点，并配合主动上报属地政府防控部门，服从属地管控。</w:t>
      </w:r>
    </w:p>
    <w:p>
      <w:pPr>
        <w:keepNext w:val="0"/>
        <w:keepLines w:val="0"/>
        <w:pageBreakBefore w:val="0"/>
        <w:kinsoku/>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3.被政府疾控部门通知为密切接触者、次密接接触者的，取消本次考试资格，立即上报公司疫控组和属地疾控部门，服从属地疾控部门管控。</w:t>
      </w:r>
    </w:p>
    <w:p>
      <w:pPr>
        <w:keepNext w:val="0"/>
        <w:keepLines w:val="0"/>
        <w:pageBreakBefore w:val="0"/>
        <w:kinsoku/>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4.统一核酸检测阳性，取消本次考试资格，立即上报公司疫控组和属地疾控部门，服从属地疾控部门管控。</w:t>
      </w:r>
    </w:p>
    <w:p>
      <w:pPr>
        <w:keepNext w:val="0"/>
        <w:keepLines w:val="0"/>
        <w:pageBreakBefore w:val="0"/>
        <w:kinsoku/>
        <w:overflowPunct/>
        <w:topLinePunct w:val="0"/>
        <w:autoSpaceDE/>
        <w:autoSpaceDN/>
        <w:bidi w:val="0"/>
        <w:adjustRightInd w:val="0"/>
        <w:snapToGrid w:val="0"/>
        <w:spacing w:line="60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三、其他注意事项</w:t>
      </w:r>
    </w:p>
    <w:p>
      <w:pPr>
        <w:keepNext w:val="0"/>
        <w:keepLines w:val="0"/>
        <w:pageBreakBefore w:val="0"/>
        <w:kinsoku/>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1.考生应自备一次性医用口罩或无呼吸阀的N95口罩，除身份确认和信息采集环节须摘除口罩以外</w:t>
      </w:r>
      <w:r>
        <w:rPr>
          <w:rFonts w:hint="eastAsia" w:ascii="仿宋_GB2312" w:hAnsi="仿宋_GB2312" w:eastAsia="仿宋_GB2312" w:cs="仿宋_GB2312"/>
          <w:sz w:val="32"/>
          <w:szCs w:val="22"/>
        </w:rPr>
        <w:t>须全程佩戴口罩，并注意与他人保持距离</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22"/>
        </w:rPr>
      </w:pPr>
      <w:r>
        <w:rPr>
          <w:rFonts w:hint="eastAsia" w:ascii="仿宋_GB2312" w:hAnsi="仿宋_GB2312" w:eastAsia="仿宋_GB2312" w:cs="仿宋_GB2312"/>
          <w:sz w:val="32"/>
          <w:szCs w:val="32"/>
        </w:rPr>
        <w:t>2.考生抵长后请不要参与聚餐、聚会等群体性活动，不拜访亲友。考生在参考和往返考点途中，必须佩戴好口罩，做好自我保护，尽量乘坐私家车和绿色出行，与他人保持安全距离，</w:t>
      </w:r>
      <w:r>
        <w:rPr>
          <w:rFonts w:hint="eastAsia" w:ascii="仿宋_GB2312" w:hAnsi="仿宋_GB2312" w:eastAsia="仿宋_GB2312" w:cs="仿宋_GB2312"/>
          <w:sz w:val="32"/>
          <w:szCs w:val="22"/>
        </w:rPr>
        <w:t>陪考人员和车辆不得进入考点。</w:t>
      </w:r>
    </w:p>
    <w:p>
      <w:pPr>
        <w:keepNext w:val="0"/>
        <w:keepLines w:val="0"/>
        <w:pageBreakBefore w:val="0"/>
        <w:kinsoku/>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3.自本告知书发布后至面试结束，考生应按照告知书中疫情防控要求，自觉做好防护防控，避免到疫情中、高风险地区或出境，如本人原因导致不能正常参加后续环节的，后果自负。</w:t>
      </w:r>
    </w:p>
    <w:p>
      <w:pPr>
        <w:keepNext w:val="0"/>
        <w:keepLines w:val="0"/>
        <w:pageBreakBefore w:val="0"/>
        <w:kinsoku/>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以上防控要求如遇政策调整，按最新的政策执行。</w:t>
      </w:r>
    </w:p>
    <w:p>
      <w:pPr>
        <w:keepNext w:val="0"/>
        <w:keepLines w:val="0"/>
        <w:pageBreakBefore w:val="0"/>
        <w:kinsoku/>
        <w:overflowPunct/>
        <w:topLinePunct w:val="0"/>
        <w:autoSpaceDE/>
        <w:autoSpaceDN/>
        <w:bidi w:val="0"/>
        <w:adjustRightInd w:val="0"/>
        <w:snapToGrid w:val="0"/>
        <w:spacing w:line="60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四、考生承诺须知</w:t>
      </w:r>
    </w:p>
    <w:p>
      <w:pPr>
        <w:keepNext w:val="0"/>
        <w:keepLines w:val="0"/>
        <w:pageBreakBefore w:val="0"/>
        <w:kinsoku/>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sz w:val="32"/>
          <w:szCs w:val="32"/>
        </w:rPr>
        <w:t>参加考试前，考生应认真阅读</w:t>
      </w:r>
      <w:r>
        <w:rPr>
          <w:rFonts w:hint="eastAsia" w:ascii="仿宋_GB2312" w:hAnsi="仿宋_GB2312" w:eastAsia="仿宋_GB2312" w:cs="仿宋_GB2312"/>
          <w:kern w:val="0"/>
          <w:sz w:val="32"/>
          <w:szCs w:val="32"/>
        </w:rPr>
        <w:t>本要求，知悉告知事项、证明义务和防疫要求。考生在国家电网有限公司招聘平台点击“确认”，前来参加资格审核、笔试或面试，即代表做出以下承诺：</w:t>
      </w:r>
      <w:r>
        <w:rPr>
          <w:rFonts w:hint="eastAsia" w:ascii="仿宋_GB2312" w:hAnsi="仿宋_GB2312" w:eastAsia="仿宋_GB2312" w:cs="仿宋_GB2312"/>
          <w:b/>
          <w:kern w:val="0"/>
          <w:sz w:val="32"/>
          <w:szCs w:val="32"/>
        </w:rPr>
        <w:t>《应聘人员新冠肺炎疫情防控网上告知书暨考生承诺书》，知悉告知事项、证明义务和防疫要求。在此郑重承诺：本人填报、提交和现场出示的所有信息（证明）均真实、准确、完整、有效，并保证配合做好疫情防控相关工作。如有违反，本人自愿承担相关责任、接受相应处理。”</w:t>
      </w:r>
    </w:p>
    <w:p>
      <w:pPr>
        <w:keepNext w:val="0"/>
        <w:keepLines w:val="0"/>
        <w:pageBreakBefore w:val="0"/>
        <w:kinsoku/>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凡隐瞒或谎报旅居史、接触史、健康状况等疫情防控重点信息，或不配合工作人员进行检测、询问、排查、送诊等造成严重后果的，取消其相应资格，并按有关规定进行处理，构成违法的将依法追究其法律责任。</w:t>
      </w:r>
    </w:p>
    <w:p>
      <w:pPr>
        <w:keepNext w:val="0"/>
        <w:keepLines w:val="0"/>
        <w:pageBreakBefore w:val="0"/>
        <w:kinsoku/>
        <w:overflowPunct/>
        <w:topLinePunct w:val="0"/>
        <w:autoSpaceDE/>
        <w:autoSpaceDN/>
        <w:bidi w:val="0"/>
        <w:adjustRightInd w:val="0"/>
        <w:snapToGrid w:val="0"/>
        <w:spacing w:line="600" w:lineRule="exact"/>
        <w:ind w:firstLine="643" w:firstLineChars="200"/>
        <w:rPr>
          <w:rFonts w:ascii="方正仿宋_GBK" w:hAnsi="方正仿宋_GBK" w:eastAsia="方正仿宋_GBK" w:cs="方正仿宋_GBK"/>
          <w:b/>
          <w:kern w:val="0"/>
          <w:sz w:val="32"/>
          <w:szCs w:val="32"/>
        </w:rPr>
      </w:pPr>
    </w:p>
    <w:p>
      <w:pPr>
        <w:keepNext w:val="0"/>
        <w:keepLines w:val="0"/>
        <w:pageBreakBefore w:val="0"/>
        <w:kinsoku/>
        <w:overflowPunct/>
        <w:topLinePunct w:val="0"/>
        <w:autoSpaceDE/>
        <w:autoSpaceDN/>
        <w:bidi w:val="0"/>
        <w:adjustRightInd w:val="0"/>
        <w:snapToGrid w:val="0"/>
        <w:spacing w:line="600" w:lineRule="exact"/>
        <w:jc w:val="center"/>
        <w:rPr>
          <w:b/>
          <w:sz w:val="44"/>
        </w:rPr>
      </w:pPr>
    </w:p>
    <w:p>
      <w:pPr>
        <w:keepNext w:val="0"/>
        <w:keepLines w:val="0"/>
        <w:pageBreakBefore w:val="0"/>
        <w:kinsoku/>
        <w:overflowPunct/>
        <w:topLinePunct w:val="0"/>
        <w:autoSpaceDE/>
        <w:autoSpaceDN/>
        <w:bidi w:val="0"/>
        <w:adjustRightInd w:val="0"/>
        <w:snapToGrid w:val="0"/>
        <w:spacing w:line="600" w:lineRule="exact"/>
        <w:jc w:val="center"/>
        <w:rPr>
          <w:b/>
          <w:sz w:val="44"/>
        </w:rPr>
      </w:pPr>
    </w:p>
    <w:p>
      <w:pPr>
        <w:keepNext w:val="0"/>
        <w:keepLines w:val="0"/>
        <w:pageBreakBefore w:val="0"/>
        <w:kinsoku/>
        <w:overflowPunct/>
        <w:topLinePunct w:val="0"/>
        <w:autoSpaceDE/>
        <w:autoSpaceDN/>
        <w:bidi w:val="0"/>
        <w:adjustRightInd w:val="0"/>
        <w:snapToGrid w:val="0"/>
        <w:spacing w:line="600" w:lineRule="exact"/>
        <w:jc w:val="center"/>
        <w:rPr>
          <w:b/>
          <w:sz w:val="44"/>
        </w:rPr>
      </w:pPr>
    </w:p>
    <w:p>
      <w:pPr>
        <w:keepNext w:val="0"/>
        <w:keepLines w:val="0"/>
        <w:pageBreakBefore w:val="0"/>
        <w:kinsoku/>
        <w:overflowPunct/>
        <w:topLinePunct w:val="0"/>
        <w:autoSpaceDE/>
        <w:autoSpaceDN/>
        <w:bidi w:val="0"/>
        <w:adjustRightInd w:val="0"/>
        <w:snapToGrid w:val="0"/>
        <w:spacing w:line="600" w:lineRule="exact"/>
        <w:jc w:val="center"/>
        <w:rPr>
          <w:b/>
          <w:sz w:val="44"/>
        </w:rPr>
      </w:pPr>
    </w:p>
    <w:p>
      <w:pPr>
        <w:keepNext w:val="0"/>
        <w:keepLines w:val="0"/>
        <w:pageBreakBefore w:val="0"/>
        <w:kinsoku/>
        <w:overflowPunct/>
        <w:topLinePunct w:val="0"/>
        <w:autoSpaceDE/>
        <w:autoSpaceDN/>
        <w:bidi w:val="0"/>
        <w:adjustRightInd w:val="0"/>
        <w:snapToGrid w:val="0"/>
        <w:spacing w:line="600" w:lineRule="exact"/>
        <w:jc w:val="center"/>
        <w:rPr>
          <w:b/>
          <w:sz w:val="44"/>
        </w:rPr>
      </w:pPr>
      <w:r>
        <w:rPr>
          <w:rFonts w:hint="eastAsia"/>
          <w:b/>
          <w:sz w:val="44"/>
        </w:rPr>
        <w:br w:type="page"/>
      </w:r>
    </w:p>
    <w:p>
      <w:pPr>
        <w:keepNext w:val="0"/>
        <w:keepLines w:val="0"/>
        <w:pageBreakBefore w:val="0"/>
        <w:kinsoku/>
        <w:overflowPunct/>
        <w:topLinePunct w:val="0"/>
        <w:autoSpaceDE/>
        <w:autoSpaceDN/>
        <w:bidi w:val="0"/>
        <w:adjustRightInd w:val="0"/>
        <w:snapToGrid w:val="0"/>
        <w:spacing w:line="600" w:lineRule="exact"/>
        <w:jc w:val="center"/>
        <w:rPr>
          <w:rFonts w:ascii="方正小标宋_GBK" w:hAnsi="方正小标宋_GBK" w:eastAsia="方正小标宋_GBK" w:cs="方正小标宋_GBK"/>
          <w:b w:val="0"/>
          <w:bCs/>
          <w:sz w:val="44"/>
        </w:rPr>
      </w:pPr>
      <w:r>
        <w:rPr>
          <w:rFonts w:hint="eastAsia" w:ascii="方正小标宋_GBK" w:hAnsi="方正小标宋_GBK" w:eastAsia="方正小标宋_GBK" w:cs="方正小标宋_GBK"/>
          <w:b w:val="0"/>
          <w:bCs/>
          <w:sz w:val="44"/>
        </w:rPr>
        <w:t>身体健康状况承诺书</w:t>
      </w:r>
    </w:p>
    <w:p>
      <w:pPr>
        <w:keepNext w:val="0"/>
        <w:keepLines w:val="0"/>
        <w:pageBreakBefore w:val="0"/>
        <w:kinsoku/>
        <w:overflowPunct/>
        <w:topLinePunct w:val="0"/>
        <w:autoSpaceDE/>
        <w:autoSpaceDN/>
        <w:bidi w:val="0"/>
        <w:adjustRightInd w:val="0"/>
        <w:snapToGrid w:val="0"/>
        <w:spacing w:line="600" w:lineRule="exact"/>
        <w:ind w:firstLine="640" w:firstLineChars="200"/>
        <w:rPr>
          <w:rFonts w:ascii="仿宋_GB2312" w:eastAsia="仿宋_GB2312"/>
          <w:sz w:val="32"/>
        </w:rPr>
      </w:pPr>
    </w:p>
    <w:p>
      <w:pPr>
        <w:keepNext w:val="0"/>
        <w:keepLines w:val="0"/>
        <w:pageBreakBefore w:val="0"/>
        <w:kinsoku/>
        <w:overflowPunct/>
        <w:topLinePunct w:val="0"/>
        <w:autoSpaceDE/>
        <w:autoSpaceDN/>
        <w:bidi w:val="0"/>
        <w:adjustRightInd w:val="0"/>
        <w:snapToGrid w:val="0"/>
        <w:spacing w:line="60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本人姓名：</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身份证：</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w:t>
      </w:r>
    </w:p>
    <w:p>
      <w:pPr>
        <w:keepNext w:val="0"/>
        <w:keepLines w:val="0"/>
        <w:pageBreakBefore w:val="0"/>
        <w:kinsoku/>
        <w:overflowPunct/>
        <w:topLinePunct w:val="0"/>
        <w:autoSpaceDE/>
        <w:autoSpaceDN/>
        <w:bidi w:val="0"/>
        <w:adjustRightInd w:val="0"/>
        <w:snapToGrid w:val="0"/>
        <w:spacing w:line="600" w:lineRule="exact"/>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kern w:val="0"/>
          <w:sz w:val="32"/>
          <w:szCs w:val="32"/>
        </w:rPr>
        <w:t>本人承诺：本人已</w:t>
      </w:r>
      <w:r>
        <w:rPr>
          <w:rFonts w:hint="eastAsia" w:ascii="方正仿宋_GBK" w:hAnsi="方正仿宋_GBK" w:eastAsia="方正仿宋_GBK" w:cs="方正仿宋_GBK"/>
          <w:sz w:val="32"/>
          <w:szCs w:val="32"/>
        </w:rPr>
        <w:t>认真阅读</w:t>
      </w:r>
      <w:r>
        <w:rPr>
          <w:rFonts w:hint="eastAsia" w:ascii="方正仿宋_GBK" w:hAnsi="方正仿宋_GBK" w:eastAsia="方正仿宋_GBK" w:cs="方正仿宋_GBK"/>
          <w:bCs/>
          <w:kern w:val="0"/>
          <w:sz w:val="32"/>
          <w:szCs w:val="32"/>
        </w:rPr>
        <w:t>《应聘人员新冠肺炎疫情防控网上告知书暨考生承诺书》，知悉告知事项、证明义务和防疫要求。在此郑重承诺：本人填报、提交和现场出示的所有信息（证明）均真实、准确、完整、有效，身体健康状况完全可以参加本次考试，并保证配合做好疫情防控相关工作。如有违反，本人自愿承担相关责任、接受相应处理。</w:t>
      </w:r>
    </w:p>
    <w:p>
      <w:pPr>
        <w:keepNext w:val="0"/>
        <w:keepLines w:val="0"/>
        <w:pageBreakBefore w:val="0"/>
        <w:kinsoku/>
        <w:overflowPunct/>
        <w:topLinePunct w:val="0"/>
        <w:autoSpaceDE/>
        <w:autoSpaceDN/>
        <w:bidi w:val="0"/>
        <w:adjustRightInd w:val="0"/>
        <w:snapToGrid w:val="0"/>
        <w:spacing w:line="600" w:lineRule="exact"/>
        <w:rPr>
          <w:rFonts w:ascii="方正仿宋_GBK" w:hAnsi="方正仿宋_GBK" w:eastAsia="方正仿宋_GBK" w:cs="方正仿宋_GBK"/>
          <w:bCs/>
          <w:kern w:val="0"/>
          <w:sz w:val="32"/>
          <w:szCs w:val="32"/>
        </w:rPr>
      </w:pPr>
    </w:p>
    <w:p>
      <w:pPr>
        <w:keepNext w:val="0"/>
        <w:keepLines w:val="0"/>
        <w:pageBreakBefore w:val="0"/>
        <w:kinsoku/>
        <w:overflowPunct/>
        <w:topLinePunct w:val="0"/>
        <w:autoSpaceDE/>
        <w:autoSpaceDN/>
        <w:bidi w:val="0"/>
        <w:adjustRightInd w:val="0"/>
        <w:snapToGrid w:val="0"/>
        <w:spacing w:line="600" w:lineRule="exact"/>
        <w:rPr>
          <w:rFonts w:ascii="方正仿宋_GBK" w:hAnsi="方正仿宋_GBK" w:eastAsia="方正仿宋_GBK" w:cs="方正仿宋_GBK"/>
          <w:bCs/>
          <w:kern w:val="0"/>
          <w:sz w:val="32"/>
          <w:szCs w:val="32"/>
        </w:rPr>
      </w:pPr>
    </w:p>
    <w:p>
      <w:pPr>
        <w:keepNext w:val="0"/>
        <w:keepLines w:val="0"/>
        <w:pageBreakBefore w:val="0"/>
        <w:kinsoku/>
        <w:overflowPunct/>
        <w:topLinePunct w:val="0"/>
        <w:autoSpaceDE/>
        <w:autoSpaceDN/>
        <w:bidi w:val="0"/>
        <w:adjustRightInd w:val="0"/>
        <w:snapToGrid w:val="0"/>
        <w:spacing w:line="600" w:lineRule="exact"/>
        <w:rPr>
          <w:rFonts w:ascii="方正仿宋_GBK" w:hAnsi="方正仿宋_GBK" w:eastAsia="方正仿宋_GBK" w:cs="方正仿宋_GBK"/>
          <w:bCs/>
          <w:kern w:val="0"/>
          <w:sz w:val="32"/>
          <w:szCs w:val="32"/>
        </w:rPr>
      </w:pPr>
    </w:p>
    <w:p>
      <w:pPr>
        <w:keepNext w:val="0"/>
        <w:keepLines w:val="0"/>
        <w:pageBreakBefore w:val="0"/>
        <w:kinsoku/>
        <w:overflowPunct/>
        <w:topLinePunct w:val="0"/>
        <w:autoSpaceDE/>
        <w:autoSpaceDN/>
        <w:bidi w:val="0"/>
        <w:adjustRightInd w:val="0"/>
        <w:snapToGrid w:val="0"/>
        <w:spacing w:line="600" w:lineRule="exact"/>
        <w:ind w:firstLine="5440" w:firstLineChars="17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承诺人：</w:t>
      </w:r>
    </w:p>
    <w:p>
      <w:pPr>
        <w:keepNext w:val="0"/>
        <w:keepLines w:val="0"/>
        <w:pageBreakBefore w:val="0"/>
        <w:kinsoku/>
        <w:overflowPunct/>
        <w:topLinePunct w:val="0"/>
        <w:autoSpaceDE/>
        <w:autoSpaceDN/>
        <w:bidi w:val="0"/>
        <w:adjustRightInd w:val="0"/>
        <w:snapToGrid w:val="0"/>
        <w:spacing w:line="600" w:lineRule="exact"/>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 xml:space="preserve">                   </w:t>
      </w:r>
      <w:r>
        <w:rPr>
          <w:rFonts w:hint="eastAsia" w:ascii="方正仿宋_GBK" w:hAnsi="方正仿宋_GBK" w:eastAsia="方正仿宋_GBK" w:cs="方正仿宋_GBK"/>
          <w:bCs/>
          <w:kern w:val="0"/>
          <w:sz w:val="32"/>
          <w:szCs w:val="32"/>
          <w:lang w:val="en-US" w:eastAsia="zh-CN"/>
        </w:rPr>
        <w:t xml:space="preserve">      </w:t>
      </w:r>
      <w:r>
        <w:rPr>
          <w:rFonts w:hint="eastAsia" w:ascii="方正仿宋_GBK" w:hAnsi="方正仿宋_GBK" w:eastAsia="方正仿宋_GBK" w:cs="方正仿宋_GBK"/>
          <w:bCs/>
          <w:kern w:val="0"/>
          <w:sz w:val="32"/>
          <w:szCs w:val="32"/>
        </w:rPr>
        <w:t xml:space="preserve">  2021年    月    日</w:t>
      </w:r>
    </w:p>
    <w:p>
      <w:pPr>
        <w:keepNext w:val="0"/>
        <w:keepLines w:val="0"/>
        <w:pageBreakBefore w:val="0"/>
        <w:kinsoku/>
        <w:overflowPunct/>
        <w:topLinePunct w:val="0"/>
        <w:autoSpaceDE/>
        <w:autoSpaceDN/>
        <w:bidi w:val="0"/>
        <w:adjustRightInd w:val="0"/>
        <w:snapToGrid w:val="0"/>
        <w:spacing w:line="600" w:lineRule="exact"/>
        <w:rPr>
          <w:rFonts w:ascii="仿宋_GB2312" w:eastAsia="仿宋_GB2312"/>
          <w:kern w:val="0"/>
          <w:sz w:val="32"/>
          <w:szCs w:val="32"/>
        </w:rPr>
      </w:pPr>
      <w:r>
        <w:rPr>
          <w:rFonts w:hint="eastAsia" w:ascii="仿宋_GB2312" w:eastAsia="仿宋_GB2312"/>
          <w:bCs/>
          <w:kern w:val="0"/>
          <w:sz w:val="32"/>
          <w:szCs w:val="32"/>
        </w:rPr>
        <w:br w:type="page"/>
      </w:r>
    </w:p>
    <w:tbl>
      <w:tblPr>
        <w:tblStyle w:val="8"/>
        <w:tblW w:w="9036" w:type="dxa"/>
        <w:tblInd w:w="-362" w:type="dxa"/>
        <w:tblLayout w:type="fixed"/>
        <w:tblCellMar>
          <w:top w:w="15" w:type="dxa"/>
          <w:left w:w="15" w:type="dxa"/>
          <w:bottom w:w="15" w:type="dxa"/>
          <w:right w:w="15" w:type="dxa"/>
        </w:tblCellMar>
      </w:tblPr>
      <w:tblGrid>
        <w:gridCol w:w="876"/>
        <w:gridCol w:w="3132"/>
        <w:gridCol w:w="5028"/>
      </w:tblGrid>
      <w:tr>
        <w:tblPrEx>
          <w:tblLayout w:type="fixed"/>
          <w:tblCellMar>
            <w:top w:w="15" w:type="dxa"/>
            <w:left w:w="15" w:type="dxa"/>
            <w:bottom w:w="15" w:type="dxa"/>
            <w:right w:w="15" w:type="dxa"/>
          </w:tblCellMar>
        </w:tblPrEx>
        <w:trPr>
          <w:trHeight w:val="450" w:hRule="atLeast"/>
        </w:trPr>
        <w:tc>
          <w:tcPr>
            <w:tcW w:w="9036" w:type="dxa"/>
            <w:gridSpan w:val="3"/>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宋体" w:hAnsi="宋体" w:cs="宋体"/>
                <w:b/>
                <w:sz w:val="36"/>
                <w:szCs w:val="36"/>
              </w:rPr>
            </w:pPr>
            <w:bookmarkStart w:id="0" w:name="_GoBack"/>
            <w:r>
              <w:rPr>
                <w:rFonts w:hint="eastAsia" w:ascii="方正小标宋_GBK" w:hAnsi="方正小标宋_GBK" w:eastAsia="方正小标宋_GBK" w:cs="方正小标宋_GBK"/>
                <w:b w:val="0"/>
                <w:bCs/>
                <w:kern w:val="0"/>
                <w:sz w:val="44"/>
                <w:szCs w:val="44"/>
                <w:lang w:bidi="ar"/>
              </w:rPr>
              <w:t>考生个人健康材料清单</w:t>
            </w:r>
            <w:bookmarkEnd w:id="0"/>
          </w:p>
        </w:tc>
      </w:tr>
      <w:tr>
        <w:tblPrEx>
          <w:tblLayout w:type="fixed"/>
          <w:tblCellMar>
            <w:top w:w="15" w:type="dxa"/>
            <w:left w:w="15" w:type="dxa"/>
            <w:bottom w:w="15" w:type="dxa"/>
            <w:right w:w="15" w:type="dxa"/>
          </w:tblCellMar>
        </w:tblPrEx>
        <w:trPr>
          <w:trHeight w:val="450" w:hRule="atLeast"/>
        </w:trPr>
        <w:tc>
          <w:tcPr>
            <w:tcW w:w="876" w:type="dxa"/>
            <w:shd w:val="clear" w:color="auto" w:fill="auto"/>
            <w:vAlign w:val="center"/>
          </w:tcPr>
          <w:p>
            <w:pPr>
              <w:keepNext w:val="0"/>
              <w:keepLines w:val="0"/>
              <w:pageBreakBefore w:val="0"/>
              <w:kinsoku/>
              <w:overflowPunct/>
              <w:topLinePunct w:val="0"/>
              <w:autoSpaceDE/>
              <w:autoSpaceDN/>
              <w:bidi w:val="0"/>
              <w:adjustRightInd w:val="0"/>
              <w:snapToGrid w:val="0"/>
              <w:spacing w:line="600" w:lineRule="exact"/>
              <w:jc w:val="center"/>
              <w:rPr>
                <w:rFonts w:ascii="宋体" w:hAnsi="宋体" w:cs="宋体"/>
                <w:b/>
                <w:sz w:val="36"/>
                <w:szCs w:val="36"/>
              </w:rPr>
            </w:pPr>
          </w:p>
        </w:tc>
        <w:tc>
          <w:tcPr>
            <w:tcW w:w="3132" w:type="dxa"/>
            <w:shd w:val="clear" w:color="auto" w:fill="auto"/>
            <w:vAlign w:val="center"/>
          </w:tcPr>
          <w:p>
            <w:pPr>
              <w:keepNext w:val="0"/>
              <w:keepLines w:val="0"/>
              <w:pageBreakBefore w:val="0"/>
              <w:kinsoku/>
              <w:overflowPunct/>
              <w:topLinePunct w:val="0"/>
              <w:autoSpaceDE/>
              <w:autoSpaceDN/>
              <w:bidi w:val="0"/>
              <w:adjustRightInd w:val="0"/>
              <w:snapToGrid w:val="0"/>
              <w:spacing w:line="600" w:lineRule="exact"/>
              <w:jc w:val="center"/>
              <w:rPr>
                <w:rFonts w:ascii="宋体" w:hAnsi="宋体" w:cs="宋体"/>
                <w:b/>
                <w:sz w:val="36"/>
                <w:szCs w:val="36"/>
              </w:rPr>
            </w:pPr>
          </w:p>
        </w:tc>
        <w:tc>
          <w:tcPr>
            <w:tcW w:w="5028" w:type="dxa"/>
            <w:shd w:val="clear" w:color="auto" w:fill="auto"/>
            <w:vAlign w:val="center"/>
          </w:tcPr>
          <w:p>
            <w:pPr>
              <w:keepNext w:val="0"/>
              <w:keepLines w:val="0"/>
              <w:pageBreakBefore w:val="0"/>
              <w:kinsoku/>
              <w:overflowPunct/>
              <w:topLinePunct w:val="0"/>
              <w:autoSpaceDE/>
              <w:autoSpaceDN/>
              <w:bidi w:val="0"/>
              <w:adjustRightInd w:val="0"/>
              <w:snapToGrid w:val="0"/>
              <w:spacing w:line="600" w:lineRule="exact"/>
              <w:jc w:val="center"/>
              <w:rPr>
                <w:rFonts w:ascii="宋体" w:hAnsi="宋体" w:cs="宋体"/>
                <w:b/>
                <w:sz w:val="36"/>
                <w:szCs w:val="36"/>
              </w:rPr>
            </w:pPr>
          </w:p>
        </w:tc>
      </w:tr>
      <w:tr>
        <w:tblPrEx>
          <w:tblLayout w:type="fixed"/>
          <w:tblCellMar>
            <w:top w:w="15" w:type="dxa"/>
            <w:left w:w="15" w:type="dxa"/>
            <w:bottom w:w="15" w:type="dxa"/>
            <w:right w:w="15" w:type="dxa"/>
          </w:tblCellMar>
        </w:tblPrEx>
        <w:trPr>
          <w:trHeight w:val="57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b/>
                <w:sz w:val="28"/>
                <w:szCs w:val="28"/>
              </w:rPr>
            </w:pPr>
            <w:r>
              <w:rPr>
                <w:rFonts w:hint="eastAsia" w:ascii="方正仿宋_GBK" w:hAnsi="方正仿宋_GBK" w:eastAsia="方正仿宋_GBK" w:cs="方正仿宋_GBK"/>
                <w:b/>
                <w:kern w:val="0"/>
                <w:sz w:val="28"/>
                <w:szCs w:val="28"/>
                <w:lang w:bidi="ar"/>
              </w:rPr>
              <w:t>序号</w:t>
            </w:r>
          </w:p>
        </w:tc>
        <w:tc>
          <w:tcPr>
            <w:tcW w:w="3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b/>
                <w:sz w:val="28"/>
                <w:szCs w:val="28"/>
              </w:rPr>
            </w:pPr>
            <w:r>
              <w:rPr>
                <w:rFonts w:hint="eastAsia" w:ascii="方正仿宋_GBK" w:hAnsi="方正仿宋_GBK" w:eastAsia="方正仿宋_GBK" w:cs="方正仿宋_GBK"/>
                <w:b/>
                <w:kern w:val="0"/>
                <w:sz w:val="28"/>
                <w:szCs w:val="28"/>
                <w:lang w:bidi="ar"/>
              </w:rPr>
              <w:t>名    称</w:t>
            </w:r>
          </w:p>
        </w:tc>
        <w:tc>
          <w:tcPr>
            <w:tcW w:w="5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b/>
                <w:sz w:val="28"/>
                <w:szCs w:val="28"/>
              </w:rPr>
            </w:pPr>
            <w:r>
              <w:rPr>
                <w:rFonts w:hint="eastAsia" w:ascii="方正仿宋_GBK" w:hAnsi="方正仿宋_GBK" w:eastAsia="方正仿宋_GBK" w:cs="方正仿宋_GBK"/>
                <w:b/>
                <w:kern w:val="0"/>
                <w:sz w:val="28"/>
                <w:szCs w:val="28"/>
                <w:lang w:bidi="ar"/>
              </w:rPr>
              <w:t>备注</w:t>
            </w:r>
          </w:p>
        </w:tc>
      </w:tr>
      <w:tr>
        <w:tblPrEx>
          <w:tblLayout w:type="fixed"/>
          <w:tblCellMar>
            <w:top w:w="15" w:type="dxa"/>
            <w:left w:w="15" w:type="dxa"/>
            <w:bottom w:w="15" w:type="dxa"/>
            <w:right w:w="15" w:type="dxa"/>
          </w:tblCellMar>
        </w:tblPrEx>
        <w:trPr>
          <w:trHeight w:val="57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1</w:t>
            </w:r>
          </w:p>
        </w:tc>
        <w:tc>
          <w:tcPr>
            <w:tcW w:w="3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健康绿码</w:t>
            </w:r>
          </w:p>
        </w:tc>
        <w:tc>
          <w:tcPr>
            <w:tcW w:w="5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全体人员</w:t>
            </w:r>
          </w:p>
        </w:tc>
      </w:tr>
      <w:tr>
        <w:tblPrEx>
          <w:tblLayout w:type="fixed"/>
          <w:tblCellMar>
            <w:top w:w="15" w:type="dxa"/>
            <w:left w:w="15" w:type="dxa"/>
            <w:bottom w:w="15" w:type="dxa"/>
            <w:right w:w="15" w:type="dxa"/>
          </w:tblCellMar>
        </w:tblPrEx>
        <w:trPr>
          <w:trHeight w:val="57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2</w:t>
            </w:r>
          </w:p>
        </w:tc>
        <w:tc>
          <w:tcPr>
            <w:tcW w:w="3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行程卡</w:t>
            </w:r>
          </w:p>
        </w:tc>
        <w:tc>
          <w:tcPr>
            <w:tcW w:w="5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全体人员</w:t>
            </w:r>
          </w:p>
        </w:tc>
      </w:tr>
      <w:tr>
        <w:tblPrEx>
          <w:tblLayout w:type="fixed"/>
          <w:tblCellMar>
            <w:top w:w="15" w:type="dxa"/>
            <w:left w:w="15" w:type="dxa"/>
            <w:bottom w:w="15" w:type="dxa"/>
            <w:right w:w="15" w:type="dxa"/>
          </w:tblCellMar>
        </w:tblPrEx>
        <w:trPr>
          <w:trHeight w:val="57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p>
        </w:tc>
        <w:tc>
          <w:tcPr>
            <w:tcW w:w="3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身体健康状况承诺书</w:t>
            </w:r>
          </w:p>
        </w:tc>
        <w:tc>
          <w:tcPr>
            <w:tcW w:w="5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全体人员</w:t>
            </w:r>
          </w:p>
        </w:tc>
      </w:tr>
      <w:tr>
        <w:tblPrEx>
          <w:tblLayout w:type="fixed"/>
          <w:tblCellMar>
            <w:top w:w="15" w:type="dxa"/>
            <w:left w:w="15" w:type="dxa"/>
            <w:bottom w:w="15" w:type="dxa"/>
            <w:right w:w="15" w:type="dxa"/>
          </w:tblCellMar>
        </w:tblPrEx>
        <w:trPr>
          <w:trHeight w:val="656"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w:t>
            </w:r>
          </w:p>
        </w:tc>
        <w:tc>
          <w:tcPr>
            <w:tcW w:w="3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48小时内核酸检测阴性证明</w:t>
            </w:r>
          </w:p>
        </w:tc>
        <w:tc>
          <w:tcPr>
            <w:tcW w:w="5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全体人员</w:t>
            </w:r>
          </w:p>
        </w:tc>
      </w:tr>
      <w:tr>
        <w:tblPrEx>
          <w:tblLayout w:type="fixed"/>
          <w:tblCellMar>
            <w:top w:w="15" w:type="dxa"/>
            <w:left w:w="15" w:type="dxa"/>
            <w:bottom w:w="15" w:type="dxa"/>
            <w:right w:w="15" w:type="dxa"/>
          </w:tblCellMar>
        </w:tblPrEx>
        <w:trPr>
          <w:trHeight w:val="57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w:t>
            </w:r>
          </w:p>
        </w:tc>
        <w:tc>
          <w:tcPr>
            <w:tcW w:w="3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出院证明</w:t>
            </w:r>
          </w:p>
        </w:tc>
        <w:tc>
          <w:tcPr>
            <w:tcW w:w="5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已痊愈考生</w:t>
            </w:r>
          </w:p>
        </w:tc>
      </w:tr>
      <w:tr>
        <w:tblPrEx>
          <w:tblLayout w:type="fixed"/>
          <w:tblCellMar>
            <w:top w:w="15" w:type="dxa"/>
            <w:left w:w="15" w:type="dxa"/>
            <w:bottom w:w="15" w:type="dxa"/>
            <w:right w:w="15" w:type="dxa"/>
          </w:tblCellMar>
        </w:tblPrEx>
        <w:trPr>
          <w:trHeight w:val="57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w:t>
            </w:r>
          </w:p>
        </w:tc>
        <w:tc>
          <w:tcPr>
            <w:tcW w:w="3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复查正常结果</w:t>
            </w:r>
          </w:p>
        </w:tc>
        <w:tc>
          <w:tcPr>
            <w:tcW w:w="5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已痊愈考生</w:t>
            </w:r>
          </w:p>
        </w:tc>
      </w:tr>
      <w:tr>
        <w:tblPrEx>
          <w:tblLayout w:type="fixed"/>
          <w:tblCellMar>
            <w:top w:w="15" w:type="dxa"/>
            <w:left w:w="15" w:type="dxa"/>
            <w:bottom w:w="15" w:type="dxa"/>
            <w:right w:w="15" w:type="dxa"/>
          </w:tblCellMar>
        </w:tblPrEx>
        <w:trPr>
          <w:trHeight w:val="855"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w:t>
            </w:r>
          </w:p>
        </w:tc>
        <w:tc>
          <w:tcPr>
            <w:tcW w:w="3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解除隔离告知书</w:t>
            </w:r>
          </w:p>
        </w:tc>
        <w:tc>
          <w:tcPr>
            <w:tcW w:w="5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bidi="ar"/>
              </w:rPr>
              <w:t>留学生、中高风险地区考生、已痊愈考生</w:t>
            </w:r>
          </w:p>
        </w:tc>
      </w:tr>
      <w:tr>
        <w:tblPrEx>
          <w:tblLayout w:type="fixed"/>
          <w:tblCellMar>
            <w:top w:w="15" w:type="dxa"/>
            <w:left w:w="15" w:type="dxa"/>
            <w:bottom w:w="15" w:type="dxa"/>
            <w:right w:w="15" w:type="dxa"/>
          </w:tblCellMar>
        </w:tblPrEx>
        <w:trPr>
          <w:trHeight w:val="855"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w:t>
            </w:r>
          </w:p>
        </w:tc>
        <w:tc>
          <w:tcPr>
            <w:tcW w:w="3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kern w:val="0"/>
                <w:sz w:val="28"/>
                <w:szCs w:val="28"/>
                <w:lang w:bidi="ar"/>
              </w:rPr>
            </w:pPr>
            <w:r>
              <w:rPr>
                <w:rFonts w:hint="eastAsia" w:ascii="方正仿宋_GBK" w:hAnsi="方正仿宋_GBK" w:eastAsia="方正仿宋_GBK" w:cs="方正仿宋_GBK"/>
                <w:kern w:val="0"/>
                <w:sz w:val="28"/>
                <w:szCs w:val="28"/>
                <w:lang w:bidi="ar"/>
              </w:rPr>
              <w:t>隔离核酸检测报告</w:t>
            </w:r>
          </w:p>
        </w:tc>
        <w:tc>
          <w:tcPr>
            <w:tcW w:w="5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overflowPunct/>
              <w:topLinePunct w:val="0"/>
              <w:autoSpaceDE/>
              <w:autoSpaceDN/>
              <w:bidi w:val="0"/>
              <w:adjustRightInd w:val="0"/>
              <w:snapToGrid w:val="0"/>
              <w:spacing w:line="600" w:lineRule="exact"/>
              <w:jc w:val="center"/>
              <w:textAlignment w:val="center"/>
              <w:rPr>
                <w:rFonts w:ascii="方正仿宋_GBK" w:hAnsi="方正仿宋_GBK" w:eastAsia="方正仿宋_GBK" w:cs="方正仿宋_GBK"/>
                <w:kern w:val="0"/>
                <w:sz w:val="28"/>
                <w:szCs w:val="28"/>
                <w:lang w:bidi="ar"/>
              </w:rPr>
            </w:pPr>
            <w:r>
              <w:rPr>
                <w:rFonts w:hint="eastAsia" w:ascii="方正仿宋_GBK" w:hAnsi="方正仿宋_GBK" w:eastAsia="方正仿宋_GBK" w:cs="方正仿宋_GBK"/>
                <w:kern w:val="0"/>
                <w:sz w:val="28"/>
                <w:szCs w:val="28"/>
                <w:lang w:bidi="ar"/>
              </w:rPr>
              <w:t>留学生</w:t>
            </w:r>
          </w:p>
        </w:tc>
      </w:tr>
    </w:tbl>
    <w:p>
      <w:pPr>
        <w:keepNext w:val="0"/>
        <w:keepLines w:val="0"/>
        <w:pageBreakBefore w:val="0"/>
        <w:kinsoku/>
        <w:overflowPunct/>
        <w:topLinePunct w:val="0"/>
        <w:autoSpaceDE/>
        <w:autoSpaceDN/>
        <w:bidi w:val="0"/>
        <w:adjustRightInd w:val="0"/>
        <w:snapToGrid w:val="0"/>
        <w:spacing w:line="600" w:lineRule="exact"/>
        <w:ind w:firstLine="640" w:firstLineChars="200"/>
        <w:rPr>
          <w:rFonts w:ascii="仿宋_GB2312" w:eastAsia="仿宋_GB2312"/>
          <w:kern w:val="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6</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8C9"/>
    <w:rsid w:val="000476C3"/>
    <w:rsid w:val="00062E88"/>
    <w:rsid w:val="00072351"/>
    <w:rsid w:val="000D199B"/>
    <w:rsid w:val="00126192"/>
    <w:rsid w:val="0013647E"/>
    <w:rsid w:val="00172A27"/>
    <w:rsid w:val="001C7AAC"/>
    <w:rsid w:val="001E6AF9"/>
    <w:rsid w:val="0027251B"/>
    <w:rsid w:val="00280E61"/>
    <w:rsid w:val="0028678A"/>
    <w:rsid w:val="002F1D21"/>
    <w:rsid w:val="00382DEB"/>
    <w:rsid w:val="003A23DB"/>
    <w:rsid w:val="003C1961"/>
    <w:rsid w:val="003E5C89"/>
    <w:rsid w:val="004F6934"/>
    <w:rsid w:val="005446A1"/>
    <w:rsid w:val="00544C1C"/>
    <w:rsid w:val="00550CF1"/>
    <w:rsid w:val="00555569"/>
    <w:rsid w:val="005B31C4"/>
    <w:rsid w:val="005C09C9"/>
    <w:rsid w:val="005C4FB6"/>
    <w:rsid w:val="005F5A0E"/>
    <w:rsid w:val="006B2143"/>
    <w:rsid w:val="006C7807"/>
    <w:rsid w:val="006E21B2"/>
    <w:rsid w:val="007010F1"/>
    <w:rsid w:val="00711B5A"/>
    <w:rsid w:val="00715242"/>
    <w:rsid w:val="00732A29"/>
    <w:rsid w:val="0073545C"/>
    <w:rsid w:val="00771849"/>
    <w:rsid w:val="007B63F2"/>
    <w:rsid w:val="007C0C0C"/>
    <w:rsid w:val="00807C47"/>
    <w:rsid w:val="008311B9"/>
    <w:rsid w:val="008F251A"/>
    <w:rsid w:val="00910107"/>
    <w:rsid w:val="00921D0E"/>
    <w:rsid w:val="00975868"/>
    <w:rsid w:val="00996B40"/>
    <w:rsid w:val="00996E53"/>
    <w:rsid w:val="009E3DF0"/>
    <w:rsid w:val="00A03030"/>
    <w:rsid w:val="00A37E9B"/>
    <w:rsid w:val="00AB110F"/>
    <w:rsid w:val="00AD0AE3"/>
    <w:rsid w:val="00AE2275"/>
    <w:rsid w:val="00B276E2"/>
    <w:rsid w:val="00B678BD"/>
    <w:rsid w:val="00B86408"/>
    <w:rsid w:val="00BA75BC"/>
    <w:rsid w:val="00BE515B"/>
    <w:rsid w:val="00C412BB"/>
    <w:rsid w:val="00C46886"/>
    <w:rsid w:val="00C52AE7"/>
    <w:rsid w:val="00C839A0"/>
    <w:rsid w:val="00CC6061"/>
    <w:rsid w:val="00CF2A39"/>
    <w:rsid w:val="00D0675E"/>
    <w:rsid w:val="00D34B1B"/>
    <w:rsid w:val="00D4514F"/>
    <w:rsid w:val="00D75E55"/>
    <w:rsid w:val="00DA5878"/>
    <w:rsid w:val="00E2231A"/>
    <w:rsid w:val="00E56758"/>
    <w:rsid w:val="00E91A1A"/>
    <w:rsid w:val="00EA5346"/>
    <w:rsid w:val="00F234D6"/>
    <w:rsid w:val="00F413D7"/>
    <w:rsid w:val="00F652F9"/>
    <w:rsid w:val="00F81CE2"/>
    <w:rsid w:val="00F937A1"/>
    <w:rsid w:val="00FC043B"/>
    <w:rsid w:val="00FF2E91"/>
    <w:rsid w:val="00FF5776"/>
    <w:rsid w:val="035C110C"/>
    <w:rsid w:val="05BA6816"/>
    <w:rsid w:val="094344D5"/>
    <w:rsid w:val="09FA1808"/>
    <w:rsid w:val="0A4A3E4A"/>
    <w:rsid w:val="0A5C5035"/>
    <w:rsid w:val="0ABC7BD6"/>
    <w:rsid w:val="0CE06865"/>
    <w:rsid w:val="0EE3296B"/>
    <w:rsid w:val="10390384"/>
    <w:rsid w:val="11175882"/>
    <w:rsid w:val="12E43FA9"/>
    <w:rsid w:val="15965F33"/>
    <w:rsid w:val="17BF15F9"/>
    <w:rsid w:val="1A8F4362"/>
    <w:rsid w:val="1B020195"/>
    <w:rsid w:val="1BF23F6A"/>
    <w:rsid w:val="1C521928"/>
    <w:rsid w:val="1DD736FF"/>
    <w:rsid w:val="1F480412"/>
    <w:rsid w:val="207070B0"/>
    <w:rsid w:val="22A17498"/>
    <w:rsid w:val="22C73E32"/>
    <w:rsid w:val="22EC7B7F"/>
    <w:rsid w:val="23674833"/>
    <w:rsid w:val="25BB5BA3"/>
    <w:rsid w:val="25E104EC"/>
    <w:rsid w:val="25EC508B"/>
    <w:rsid w:val="26231607"/>
    <w:rsid w:val="273D638E"/>
    <w:rsid w:val="27D03B7F"/>
    <w:rsid w:val="280F3C47"/>
    <w:rsid w:val="295B09BC"/>
    <w:rsid w:val="29953BA7"/>
    <w:rsid w:val="2AB96756"/>
    <w:rsid w:val="2B6B2BC5"/>
    <w:rsid w:val="2C0A50D4"/>
    <w:rsid w:val="2E8E7632"/>
    <w:rsid w:val="2F5378CD"/>
    <w:rsid w:val="2F6F66BB"/>
    <w:rsid w:val="32DD23D3"/>
    <w:rsid w:val="33DB78D9"/>
    <w:rsid w:val="362058C8"/>
    <w:rsid w:val="38E47595"/>
    <w:rsid w:val="39A37DEE"/>
    <w:rsid w:val="3A01754A"/>
    <w:rsid w:val="3B8F5896"/>
    <w:rsid w:val="3BFF4372"/>
    <w:rsid w:val="3E1453EB"/>
    <w:rsid w:val="3EAF3074"/>
    <w:rsid w:val="3EC47C8C"/>
    <w:rsid w:val="3EEB71B4"/>
    <w:rsid w:val="3F5A3B7E"/>
    <w:rsid w:val="432202AA"/>
    <w:rsid w:val="459C6DF2"/>
    <w:rsid w:val="45EC2522"/>
    <w:rsid w:val="467E43E8"/>
    <w:rsid w:val="46D020A5"/>
    <w:rsid w:val="48EF24C1"/>
    <w:rsid w:val="499A5CF7"/>
    <w:rsid w:val="4AB97C54"/>
    <w:rsid w:val="4E396E88"/>
    <w:rsid w:val="4EC60124"/>
    <w:rsid w:val="50EF0260"/>
    <w:rsid w:val="514506C3"/>
    <w:rsid w:val="5363275B"/>
    <w:rsid w:val="57E77C6F"/>
    <w:rsid w:val="58996E80"/>
    <w:rsid w:val="589D2C0F"/>
    <w:rsid w:val="596665DD"/>
    <w:rsid w:val="5AB94B8C"/>
    <w:rsid w:val="5B062A42"/>
    <w:rsid w:val="5DF305F6"/>
    <w:rsid w:val="5F3A12A4"/>
    <w:rsid w:val="60280500"/>
    <w:rsid w:val="60AF66CE"/>
    <w:rsid w:val="61335D8A"/>
    <w:rsid w:val="62CE14D7"/>
    <w:rsid w:val="62E9255E"/>
    <w:rsid w:val="63886B57"/>
    <w:rsid w:val="63915694"/>
    <w:rsid w:val="65512361"/>
    <w:rsid w:val="68062442"/>
    <w:rsid w:val="6A7766BA"/>
    <w:rsid w:val="6BBF056D"/>
    <w:rsid w:val="6D853911"/>
    <w:rsid w:val="6EED5570"/>
    <w:rsid w:val="6F601CC5"/>
    <w:rsid w:val="71D25942"/>
    <w:rsid w:val="72F07D2A"/>
    <w:rsid w:val="731E5FC3"/>
    <w:rsid w:val="744041FB"/>
    <w:rsid w:val="75231CBF"/>
    <w:rsid w:val="786841EB"/>
    <w:rsid w:val="7AFA39D1"/>
    <w:rsid w:val="7B5178B1"/>
    <w:rsid w:val="7B5A2056"/>
    <w:rsid w:val="7B803B74"/>
    <w:rsid w:val="7C0C7CE7"/>
    <w:rsid w:val="7C9061B7"/>
    <w:rsid w:val="7DB44783"/>
    <w:rsid w:val="7DDB1BD7"/>
    <w:rsid w:val="7E780B70"/>
    <w:rsid w:val="7F7B063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iPriority="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16"/>
      <w:sz w:val="52"/>
      <w:szCs w:val="48"/>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2"/>
    <w:semiHidden/>
    <w:qFormat/>
    <w:uiPriority w:val="99"/>
    <w:pPr>
      <w:jc w:val="left"/>
    </w:pPr>
  </w:style>
  <w:style w:type="paragraph" w:styleId="3">
    <w:name w:val="Balloon Text"/>
    <w:basedOn w:val="1"/>
    <w:link w:val="13"/>
    <w:semiHidden/>
    <w:qFormat/>
    <w:uiPriority w:val="99"/>
    <w:rPr>
      <w:sz w:val="18"/>
      <w:szCs w:val="18"/>
    </w:rPr>
  </w:style>
  <w:style w:type="paragraph" w:styleId="4">
    <w:name w:val="footer"/>
    <w:basedOn w:val="1"/>
    <w:link w:val="16"/>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Autospacing="1" w:afterAutospacing="1"/>
      <w:jc w:val="left"/>
    </w:pPr>
    <w:rPr>
      <w:kern w:val="0"/>
      <w:sz w:val="24"/>
    </w:rPr>
  </w:style>
  <w:style w:type="paragraph" w:styleId="7">
    <w:name w:val="annotation subject"/>
    <w:basedOn w:val="2"/>
    <w:next w:val="2"/>
    <w:link w:val="14"/>
    <w:semiHidden/>
    <w:qFormat/>
    <w:uiPriority w:val="99"/>
    <w:rPr>
      <w:b/>
      <w:bCs/>
    </w:rPr>
  </w:style>
  <w:style w:type="character" w:styleId="10">
    <w:name w:val="Hyperlink"/>
    <w:basedOn w:val="9"/>
    <w:qFormat/>
    <w:uiPriority w:val="99"/>
    <w:rPr>
      <w:rFonts w:cs="Times New Roman"/>
      <w:color w:val="000000"/>
      <w:u w:val="none"/>
    </w:rPr>
  </w:style>
  <w:style w:type="character" w:styleId="11">
    <w:name w:val="annotation reference"/>
    <w:basedOn w:val="9"/>
    <w:semiHidden/>
    <w:qFormat/>
    <w:uiPriority w:val="99"/>
    <w:rPr>
      <w:rFonts w:cs="Times New Roman"/>
      <w:sz w:val="21"/>
      <w:szCs w:val="21"/>
    </w:rPr>
  </w:style>
  <w:style w:type="character" w:customStyle="1" w:styleId="12">
    <w:name w:val="批注文字 Char"/>
    <w:basedOn w:val="9"/>
    <w:link w:val="2"/>
    <w:semiHidden/>
    <w:qFormat/>
    <w:locked/>
    <w:uiPriority w:val="99"/>
    <w:rPr>
      <w:rFonts w:ascii="Times New Roman" w:hAnsi="Times New Roman" w:eastAsia="宋体" w:cs="Times New Roman"/>
      <w:kern w:val="16"/>
      <w:sz w:val="48"/>
      <w:szCs w:val="48"/>
    </w:rPr>
  </w:style>
  <w:style w:type="character" w:customStyle="1" w:styleId="13">
    <w:name w:val="批注框文本 Char"/>
    <w:basedOn w:val="9"/>
    <w:link w:val="3"/>
    <w:semiHidden/>
    <w:qFormat/>
    <w:locked/>
    <w:uiPriority w:val="99"/>
    <w:rPr>
      <w:rFonts w:ascii="Times New Roman" w:hAnsi="Times New Roman" w:eastAsia="宋体" w:cs="Times New Roman"/>
      <w:kern w:val="16"/>
      <w:sz w:val="18"/>
      <w:szCs w:val="18"/>
    </w:rPr>
  </w:style>
  <w:style w:type="character" w:customStyle="1" w:styleId="14">
    <w:name w:val="批注主题 Char"/>
    <w:basedOn w:val="12"/>
    <w:link w:val="7"/>
    <w:semiHidden/>
    <w:qFormat/>
    <w:locked/>
    <w:uiPriority w:val="99"/>
    <w:rPr>
      <w:rFonts w:ascii="Times New Roman" w:hAnsi="Times New Roman" w:eastAsia="宋体" w:cs="Times New Roman"/>
      <w:b/>
      <w:bCs/>
      <w:kern w:val="16"/>
      <w:sz w:val="48"/>
      <w:szCs w:val="48"/>
    </w:rPr>
  </w:style>
  <w:style w:type="character" w:customStyle="1" w:styleId="15">
    <w:name w:val="页眉 Char"/>
    <w:basedOn w:val="9"/>
    <w:link w:val="5"/>
    <w:semiHidden/>
    <w:qFormat/>
    <w:locked/>
    <w:uiPriority w:val="99"/>
    <w:rPr>
      <w:rFonts w:ascii="Times New Roman" w:hAnsi="Times New Roman" w:eastAsia="宋体" w:cs="Times New Roman"/>
      <w:kern w:val="16"/>
      <w:sz w:val="18"/>
      <w:szCs w:val="18"/>
    </w:rPr>
  </w:style>
  <w:style w:type="character" w:customStyle="1" w:styleId="16">
    <w:name w:val="页脚 Char"/>
    <w:basedOn w:val="9"/>
    <w:link w:val="4"/>
    <w:qFormat/>
    <w:locked/>
    <w:uiPriority w:val="99"/>
    <w:rPr>
      <w:rFonts w:ascii="Times New Roman" w:hAnsi="Times New Roman" w:eastAsia="宋体" w:cs="Times New Roman"/>
      <w:kern w:val="16"/>
      <w:sz w:val="18"/>
      <w:szCs w:val="18"/>
    </w:rPr>
  </w:style>
  <w:style w:type="paragraph" w:styleId="17">
    <w:name w:val="No Spacing"/>
    <w:basedOn w:val="1"/>
    <w:qFormat/>
    <w:uiPriority w:val="99"/>
    <w:pPr>
      <w:spacing w:line="580" w:lineRule="exact"/>
      <w:ind w:firstLine="640" w:firstLineChars="200"/>
    </w:pPr>
    <w:rPr>
      <w:rFonts w:ascii="仿宋_GB2312" w:hAnsi="黑体" w:eastAsia="仿宋_GB2312"/>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328</Words>
  <Characters>1875</Characters>
  <Lines>15</Lines>
  <Paragraphs>4</Paragraphs>
  <TotalTime>47</TotalTime>
  <ScaleCrop>false</ScaleCrop>
  <LinksUpToDate>false</LinksUpToDate>
  <CharactersWithSpaces>2199</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2020-06-22T02:51:00Z</dcterms:created>
  <cp:lastPrinted>2020-06-24T09:48:00Z</cp:lastPrinted>
  <dcterms:modified xsi:type="dcterms:W3CDTF">2021-12-27T14:16:36Z</dcterms:modified>
  <dc:title>国网冀北电力有限公司2020年高校毕业生招聘考试（第二批）应聘人员新冠肺炎疫情防控要求</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BCB53DA384F54E438739DE709F7F2EBB</vt:lpwstr>
  </property>
</Properties>
</file>