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rPr>
          <w:rFonts w:hint="eastAsia" w:eastAsia="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7</w:t>
      </w:r>
    </w:p>
    <w:p>
      <w:pPr>
        <w:adjustRightInd w:val="0"/>
        <w:snapToGrid w:val="0"/>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武汉考点安排及疫情防控要求</w:t>
      </w:r>
    </w:p>
    <w:p>
      <w:pPr>
        <w:adjustRightInd w:val="0"/>
        <w:snapToGrid w:val="0"/>
        <w:spacing w:line="600" w:lineRule="exact"/>
        <w:ind w:firstLine="640" w:firstLineChars="200"/>
        <w:rPr>
          <w:rFonts w:ascii="方正仿宋_GBK" w:eastAsia="方正仿宋_GBK"/>
          <w:sz w:val="32"/>
          <w:szCs w:val="32"/>
        </w:rPr>
      </w:pPr>
    </w:p>
    <w:p>
      <w:pPr>
        <w:pStyle w:val="6"/>
        <w:keepNext w:val="0"/>
        <w:keepLines w:val="0"/>
        <w:pageBreakBefore w:val="0"/>
        <w:numPr>
          <w:ilvl w:val="0"/>
          <w:numId w:val="1"/>
        </w:numPr>
        <w:kinsoku/>
        <w:wordWrap/>
        <w:overflowPunct/>
        <w:topLinePunct w:val="0"/>
        <w:autoSpaceDN/>
        <w:bidi w:val="0"/>
        <w:adjustRightInd w:val="0"/>
        <w:snapToGrid w:val="0"/>
        <w:spacing w:line="600" w:lineRule="exact"/>
        <w:ind w:left="1350" w:leftChars="0" w:firstLineChars="0"/>
        <w:rPr>
          <w:rFonts w:ascii="黑体" w:hAnsi="黑体" w:eastAsia="黑体"/>
          <w:sz w:val="32"/>
          <w:szCs w:val="32"/>
        </w:rPr>
      </w:pPr>
      <w:r>
        <w:rPr>
          <w:rFonts w:hint="eastAsia" w:ascii="黑体" w:hAnsi="黑体" w:eastAsia="黑体"/>
          <w:sz w:val="32"/>
          <w:szCs w:val="32"/>
        </w:rPr>
        <w:t>考点地址及乘车路线</w:t>
      </w:r>
    </w:p>
    <w:p>
      <w:pPr>
        <w:keepNext w:val="0"/>
        <w:keepLines w:val="0"/>
        <w:pageBreakBefore w:val="0"/>
        <w:kinsoku/>
        <w:wordWrap/>
        <w:overflowPunct/>
        <w:topLinePunct w:val="0"/>
        <w:autoSpaceDN/>
        <w:bidi w:val="0"/>
        <w:adjustRightInd w:val="0"/>
        <w:snapToGrid w:val="0"/>
        <w:spacing w:line="600" w:lineRule="exact"/>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国网湖北省电力有限公司技术培训中心</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val="en-US" w:eastAsia="zh-CN" w:bidi="ar"/>
        </w:rPr>
        <w:t>武汉电力职业技术学院）</w:t>
      </w:r>
      <w:r>
        <w:rPr>
          <w:rFonts w:hint="eastAsia" w:ascii="仿宋_GB2312" w:hAnsi="仿宋_GB2312" w:eastAsia="仿宋_GB2312" w:cs="仿宋_GB2312"/>
          <w:color w:val="000000"/>
          <w:kern w:val="0"/>
          <w:sz w:val="32"/>
          <w:szCs w:val="32"/>
          <w:lang w:bidi="ar"/>
        </w:rPr>
        <w:t>，位于湖北省武汉市洪山区珞喻路189号。</w:t>
      </w:r>
    </w:p>
    <w:p>
      <w:pPr>
        <w:keepNext w:val="0"/>
        <w:keepLines w:val="0"/>
        <w:pageBreakBefore w:val="0"/>
        <w:kinsoku/>
        <w:wordWrap/>
        <w:overflowPunct/>
        <w:topLinePunct w:val="0"/>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1.乘车路线</w:t>
      </w:r>
    </w:p>
    <w:p>
      <w:pPr>
        <w:keepNext w:val="0"/>
        <w:keepLines w:val="0"/>
        <w:pageBreakBefore w:val="0"/>
        <w:kinsoku/>
        <w:wordWrap/>
        <w:overflowPunct/>
        <w:topLinePunct w:val="0"/>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（1）从天河机场出发，乘坐地铁，天河机场站（B口）上车，乘坐地铁2号线，经24站，直达广埠屯站（J口），出口步行2分钟即到。（80分钟左右）</w:t>
      </w:r>
    </w:p>
    <w:p>
      <w:pPr>
        <w:keepNext w:val="0"/>
        <w:keepLines w:val="0"/>
        <w:pageBreakBefore w:val="0"/>
        <w:kinsoku/>
        <w:wordWrap/>
        <w:overflowPunct/>
        <w:topLinePunct w:val="0"/>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（2）从武汉火车站出发，乘坐地铁4号线，至中南路站，换乘地铁2号线，至广埠屯站（J口）出站，步行2分钟即到。（50分钟左右）</w:t>
      </w:r>
    </w:p>
    <w:p>
      <w:pPr>
        <w:keepNext w:val="0"/>
        <w:keepLines w:val="0"/>
        <w:pageBreakBefore w:val="0"/>
        <w:kinsoku/>
        <w:wordWrap/>
        <w:overflowPunct/>
        <w:topLinePunct w:val="0"/>
        <w:autoSpaceDN/>
        <w:bidi w:val="0"/>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（3）从武昌火车站出发，武昌火车站（C口）乘坐地铁4号线，至中南路站，换乘地铁2号线，至广埠屯站（J口）出站，步行2分钟即到。（30分钟左右）</w:t>
      </w:r>
    </w:p>
    <w:p>
      <w:pPr>
        <w:keepNext w:val="0"/>
        <w:keepLines w:val="0"/>
        <w:pageBreakBefore w:val="0"/>
        <w:kinsoku/>
        <w:wordWrap/>
        <w:overflowPunct/>
        <w:topLinePunct w:val="0"/>
        <w:autoSpaceDN/>
        <w:bidi w:val="0"/>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（4）从汉口火车站出发，汉口火车站（E口）乘坐地铁2号线，至广埠屯站（J口）出站，步行2分钟即到。（45分钟左右）</w:t>
      </w:r>
    </w:p>
    <w:p>
      <w:pPr>
        <w:keepNext w:val="0"/>
        <w:keepLines w:val="0"/>
        <w:pageBreakBefore w:val="0"/>
        <w:kinsoku/>
        <w:wordWrap/>
        <w:overflowPunct/>
        <w:topLinePunct w:val="0"/>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2.路线咨询电话：027-59802524</w:t>
      </w:r>
    </w:p>
    <w:p>
      <w:pPr>
        <w:pStyle w:val="6"/>
        <w:keepNext w:val="0"/>
        <w:keepLines w:val="0"/>
        <w:pageBreakBefore w:val="0"/>
        <w:numPr>
          <w:ilvl w:val="0"/>
          <w:numId w:val="1"/>
        </w:numPr>
        <w:kinsoku/>
        <w:wordWrap/>
        <w:overflowPunct/>
        <w:topLinePunct w:val="0"/>
        <w:autoSpaceDN/>
        <w:bidi w:val="0"/>
        <w:adjustRightInd w:val="0"/>
        <w:snapToGrid w:val="0"/>
        <w:spacing w:line="600" w:lineRule="exact"/>
        <w:ind w:left="1350" w:leftChars="0" w:firstLineChars="0"/>
        <w:rPr>
          <w:rFonts w:ascii="黑体" w:hAnsi="黑体" w:eastAsia="黑体"/>
          <w:sz w:val="32"/>
          <w:szCs w:val="32"/>
        </w:rPr>
      </w:pPr>
      <w:r>
        <w:rPr>
          <w:rFonts w:hint="eastAsia" w:ascii="黑体" w:hAnsi="黑体" w:eastAsia="黑体"/>
          <w:sz w:val="32"/>
          <w:szCs w:val="32"/>
        </w:rPr>
        <w:t>资格审查安排</w:t>
      </w:r>
    </w:p>
    <w:p>
      <w:pPr>
        <w:pStyle w:val="6"/>
        <w:keepNext w:val="0"/>
        <w:keepLines w:val="0"/>
        <w:pageBreakBefore w:val="0"/>
        <w:kinsoku/>
        <w:wordWrap/>
        <w:overflowPunct/>
        <w:topLinePunct w:val="0"/>
        <w:autoSpaceDN/>
        <w:bidi w:val="0"/>
        <w:adjustRightInd w:val="0"/>
        <w:snapToGrid w:val="0"/>
        <w:spacing w:line="600" w:lineRule="exact"/>
        <w:ind w:firstLine="643"/>
        <w:rPr>
          <w:rFonts w:ascii="楷体_GB2312" w:eastAsia="楷体_GB2312"/>
          <w:b/>
          <w:bCs/>
          <w:sz w:val="32"/>
          <w:szCs w:val="32"/>
        </w:rPr>
      </w:pPr>
      <w:r>
        <w:rPr>
          <w:rFonts w:hint="eastAsia" w:ascii="楷体_GB2312" w:eastAsia="楷体_GB2312"/>
          <w:b/>
          <w:bCs/>
          <w:sz w:val="32"/>
          <w:szCs w:val="32"/>
        </w:rPr>
        <w:t>（一）时间安排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bidi w:val="0"/>
        <w:adjustRightInd w:val="0"/>
        <w:snapToGrid w:val="0"/>
        <w:spacing w:before="0" w:beforeAutospacing="0" w:after="0" w:afterAutospacing="0" w:line="600" w:lineRule="exact"/>
        <w:ind w:left="0" w:right="0" w:firstLine="64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shd w:val="clear" w:fill="FFFFFF"/>
          <w:vertAlign w:val="baseline"/>
          <w:lang w:val="en-US" w:eastAsia="zh-CN" w:bidi="ar"/>
        </w:rPr>
        <w:t>2022年1月1日08:30-11:30，电工类研究生、通信类、财会类、其他工学类和其他专业考生。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bidi w:val="0"/>
        <w:adjustRightInd w:val="0"/>
        <w:snapToGrid w:val="0"/>
        <w:spacing w:before="0" w:beforeAutospacing="0" w:after="0" w:afterAutospacing="0" w:line="600" w:lineRule="exact"/>
        <w:ind w:left="0" w:right="0" w:firstLine="640"/>
        <w:jc w:val="lef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shd w:val="clear" w:fill="FFFFFF"/>
          <w:vertAlign w:val="baseline"/>
          <w:lang w:val="en-US" w:eastAsia="zh-CN" w:bidi="ar"/>
        </w:rPr>
        <w:t>2022年1月1日12:00-16:00，电工类本科、计算机类和管理类。</w:t>
      </w:r>
    </w:p>
    <w:p>
      <w:pPr>
        <w:pStyle w:val="6"/>
        <w:keepNext w:val="0"/>
        <w:keepLines w:val="0"/>
        <w:pageBreakBefore w:val="0"/>
        <w:numPr>
          <w:ilvl w:val="0"/>
          <w:numId w:val="2"/>
        </w:numPr>
        <w:kinsoku/>
        <w:wordWrap/>
        <w:overflowPunct/>
        <w:topLinePunct w:val="0"/>
        <w:autoSpaceDN/>
        <w:bidi w:val="0"/>
        <w:adjustRightInd w:val="0"/>
        <w:snapToGrid w:val="0"/>
        <w:spacing w:line="600" w:lineRule="exact"/>
        <w:ind w:firstLine="643"/>
        <w:rPr>
          <w:rFonts w:hint="eastAsia" w:ascii="楷体_GB2312" w:eastAsia="楷体_GB2312"/>
          <w:b/>
          <w:bCs/>
          <w:sz w:val="32"/>
          <w:szCs w:val="32"/>
        </w:rPr>
      </w:pPr>
      <w:r>
        <w:rPr>
          <w:rFonts w:hint="eastAsia" w:ascii="楷体_GB2312" w:eastAsia="楷体_GB2312"/>
          <w:b/>
          <w:bCs/>
          <w:sz w:val="32"/>
          <w:szCs w:val="32"/>
        </w:rPr>
        <w:t>携带材料清单</w:t>
      </w:r>
    </w:p>
    <w:p>
      <w:pPr>
        <w:pStyle w:val="6"/>
        <w:keepNext w:val="0"/>
        <w:keepLines w:val="0"/>
        <w:pageBreakBefore w:val="0"/>
        <w:widowControl w:val="0"/>
        <w:numPr>
          <w:ilvl w:val="0"/>
          <w:numId w:val="0"/>
        </w:numPr>
        <w:kinsoku/>
        <w:wordWrap/>
        <w:overflowPunct/>
        <w:topLinePunct w:val="0"/>
        <w:autoSpaceDN/>
        <w:bidi w:val="0"/>
        <w:adjustRightInd w:val="0"/>
        <w:snapToGrid w:val="0"/>
        <w:spacing w:line="600" w:lineRule="exact"/>
        <w:ind w:firstLine="640" w:firstLineChars="200"/>
        <w:jc w:val="both"/>
        <w:rPr>
          <w:rFonts w:hint="eastAsia" w:ascii="楷体_GB2312" w:eastAsia="楷体_GB2312"/>
          <w:b/>
          <w:bCs/>
          <w:sz w:val="32"/>
          <w:szCs w:val="32"/>
        </w:rPr>
      </w:pPr>
      <w:r>
        <w:rPr>
          <w:rFonts w:hint="eastAsia" w:ascii="仿宋_GB2312" w:hAnsi="仿宋_GB2312" w:eastAsia="仿宋_GB2312"/>
          <w:sz w:val="32"/>
        </w:rPr>
        <w:t>考生需携带</w:t>
      </w:r>
      <w:r>
        <w:rPr>
          <w:rFonts w:hint="eastAsia" w:ascii="仿宋_GB2312" w:hAnsi="仿宋_GB2312" w:eastAsia="仿宋_GB2312"/>
          <w:b/>
          <w:bCs/>
          <w:sz w:val="32"/>
          <w:lang w:eastAsia="zh-CN"/>
        </w:rPr>
        <w:t>本人身份证件和考点所要求提供的材料，包括但不限于核酸检测阴性报告、健康绿码、大数据行程卡绿码等，详见疫情防控须知。</w:t>
      </w:r>
    </w:p>
    <w:p>
      <w:pPr>
        <w:pStyle w:val="6"/>
        <w:keepNext w:val="0"/>
        <w:keepLines w:val="0"/>
        <w:pageBreakBefore w:val="0"/>
        <w:numPr>
          <w:ilvl w:val="0"/>
          <w:numId w:val="1"/>
        </w:numPr>
        <w:kinsoku/>
        <w:wordWrap/>
        <w:overflowPunct/>
        <w:topLinePunct w:val="0"/>
        <w:autoSpaceDN/>
        <w:bidi w:val="0"/>
        <w:adjustRightInd w:val="0"/>
        <w:snapToGrid w:val="0"/>
        <w:spacing w:line="600" w:lineRule="exact"/>
        <w:ind w:left="1350" w:leftChars="0" w:firstLineChars="0"/>
        <w:rPr>
          <w:rFonts w:ascii="黑体" w:hAnsi="黑体" w:eastAsia="黑体"/>
          <w:sz w:val="32"/>
          <w:szCs w:val="32"/>
        </w:rPr>
      </w:pPr>
      <w:r>
        <w:rPr>
          <w:rFonts w:hint="eastAsia" w:ascii="黑体" w:hAnsi="黑体" w:eastAsia="黑体"/>
          <w:sz w:val="32"/>
          <w:szCs w:val="32"/>
        </w:rPr>
        <w:t>疫情防控须知</w:t>
      </w:r>
    </w:p>
    <w:p>
      <w:pPr>
        <w:pStyle w:val="6"/>
        <w:keepNext w:val="0"/>
        <w:keepLines w:val="0"/>
        <w:pageBreakBefore w:val="0"/>
        <w:kinsoku/>
        <w:wordWrap/>
        <w:overflowPunct/>
        <w:topLinePunct w:val="0"/>
        <w:autoSpaceDN/>
        <w:bidi w:val="0"/>
        <w:adjustRightInd w:val="0"/>
        <w:snapToGrid w:val="0"/>
        <w:spacing w:line="600" w:lineRule="exact"/>
        <w:ind w:firstLine="643"/>
        <w:rPr>
          <w:rFonts w:hint="eastAsia" w:ascii="楷体_GB2312" w:eastAsia="楷体_GB2312"/>
          <w:b/>
          <w:bCs/>
          <w:sz w:val="32"/>
          <w:szCs w:val="32"/>
          <w:lang w:val="en-US" w:eastAsia="zh-CN"/>
        </w:rPr>
      </w:pPr>
      <w:r>
        <w:rPr>
          <w:rFonts w:hint="eastAsia" w:ascii="楷体_GB2312" w:eastAsia="楷体_GB2312"/>
          <w:b/>
          <w:bCs/>
          <w:sz w:val="32"/>
          <w:szCs w:val="32"/>
          <w:lang w:eastAsia="zh-CN"/>
        </w:rPr>
        <w:t>（</w:t>
      </w:r>
      <w:r>
        <w:rPr>
          <w:rFonts w:hint="eastAsia" w:ascii="楷体_GB2312" w:eastAsia="楷体_GB2312"/>
          <w:b/>
          <w:bCs/>
          <w:sz w:val="32"/>
          <w:szCs w:val="32"/>
          <w:lang w:val="en-US" w:eastAsia="zh-CN"/>
        </w:rPr>
        <w:t>一）</w:t>
      </w:r>
      <w:r>
        <w:rPr>
          <w:rFonts w:hint="eastAsia" w:ascii="楷体_GB2312" w:eastAsia="楷体_GB2312"/>
          <w:b/>
          <w:bCs/>
          <w:sz w:val="32"/>
          <w:szCs w:val="32"/>
        </w:rPr>
        <w:t>考前</w:t>
      </w:r>
      <w:r>
        <w:rPr>
          <w:rFonts w:hint="eastAsia" w:ascii="楷体_GB2312" w:eastAsia="楷体_GB2312"/>
          <w:b/>
          <w:bCs/>
          <w:sz w:val="32"/>
          <w:szCs w:val="32"/>
          <w:lang w:val="en-US" w:eastAsia="zh-CN"/>
        </w:rPr>
        <w:t>准备</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pPr>
      <w:r>
        <w:rPr>
          <w:rFonts w:hint="eastAsia" w:ascii="仿宋_GB2312" w:hAnsi="仿宋_GB2312" w:eastAsia="仿宋_GB2312" w:cs="仿宋_GB2312"/>
          <w:sz w:val="32"/>
        </w:rPr>
        <w:t>1</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考生须严格遵守国家和</w:t>
      </w:r>
      <w:r>
        <w:rPr>
          <w:rFonts w:hint="eastAsia" w:ascii="仿宋_GB2312" w:hAnsi="仿宋_GB2312" w:eastAsia="仿宋_GB2312" w:cs="仿宋_GB2312"/>
          <w:sz w:val="32"/>
          <w:lang w:val="en-US" w:eastAsia="zh-CN"/>
        </w:rPr>
        <w:t>湖北省、武汉市</w:t>
      </w:r>
      <w:r>
        <w:rPr>
          <w:rFonts w:hint="eastAsia" w:ascii="仿宋_GB2312" w:hAnsi="仿宋_GB2312" w:eastAsia="仿宋_GB2312" w:cs="仿宋_GB2312"/>
          <w:sz w:val="32"/>
          <w:highlight w:val="none"/>
        </w:rPr>
        <w:t>疫情防控有关规定，</w:t>
      </w:r>
      <w:r>
        <w:rPr>
          <w:rFonts w:hint="eastAsia" w:ascii="仿宋_GB2312" w:hAnsi="仿宋_GB2312" w:eastAsia="仿宋_GB2312" w:cs="仿宋_GB2312"/>
          <w:sz w:val="32"/>
          <w:highlight w:val="none"/>
          <w:lang w:eastAsia="zh-CN"/>
        </w:rPr>
        <w:t>切实增加疫情防控意识，自觉做好个人防护工作。考前主动减少外出和不必要的聚集、人员接触，不到人群拥挤、通风不好的场所，</w:t>
      </w:r>
      <w:r>
        <w:rPr>
          <w:rFonts w:hint="eastAsia" w:ascii="仿宋_GB2312" w:hAnsi="仿宋_GB2312" w:eastAsia="仿宋_GB2312" w:cs="仿宋_GB2312"/>
          <w:sz w:val="32"/>
          <w:highlight w:val="none"/>
        </w:rPr>
        <w:t>不到疫情中高风险地区</w:t>
      </w:r>
      <w:r>
        <w:rPr>
          <w:rFonts w:hint="eastAsia" w:ascii="仿宋_GB2312" w:hAnsi="仿宋_GB2312" w:eastAsia="仿宋_GB2312" w:cs="仿宋_GB2312"/>
          <w:sz w:val="32"/>
          <w:highlight w:val="none"/>
          <w:lang w:eastAsia="zh-CN"/>
        </w:rPr>
        <w:t>，乘坐公共交通时应注意规避疫情风险</w:t>
      </w:r>
      <w:r>
        <w:rPr>
          <w:rFonts w:hint="eastAsia" w:ascii="仿宋_GB2312" w:hAnsi="仿宋_GB2312" w:eastAsia="仿宋_GB2312" w:cs="仿宋_GB2312"/>
          <w:sz w:val="32"/>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highlight w:val="none"/>
          <w:lang w:eastAsia="zh-CN"/>
        </w:rPr>
      </w:pPr>
      <w:r>
        <w:rPr>
          <w:rFonts w:hint="eastAsia" w:ascii="仿宋_GB2312" w:hAnsi="仿宋_GB2312" w:eastAsia="仿宋_GB2312" w:cs="仿宋_GB2312"/>
          <w:sz w:val="32"/>
          <w:highlight w:val="none"/>
        </w:rPr>
        <w:t>2</w:t>
      </w:r>
      <w:r>
        <w:rPr>
          <w:rFonts w:hint="eastAsia" w:ascii="仿宋_GB2312" w:hAnsi="仿宋_GB2312" w:eastAsia="仿宋_GB2312" w:cs="仿宋_GB2312"/>
          <w:sz w:val="32"/>
          <w:highlight w:val="none"/>
          <w:lang w:eastAsia="zh-CN"/>
        </w:rPr>
        <w:t>.</w:t>
      </w:r>
      <w:r>
        <w:rPr>
          <w:rFonts w:hint="eastAsia" w:ascii="仿宋_GB2312" w:hAnsi="仿宋_GB2312" w:eastAsia="仿宋_GB2312" w:cs="仿宋_GB2312"/>
          <w:sz w:val="32"/>
          <w:highlight w:val="none"/>
        </w:rPr>
        <w:t>考生须根据本人身份证号码和在</w:t>
      </w:r>
      <w:r>
        <w:rPr>
          <w:rFonts w:hint="eastAsia" w:ascii="仿宋_GB2312" w:hAnsi="宋体" w:eastAsia="仿宋_GB2312" w:cs="宋体"/>
          <w:bCs/>
          <w:color w:val="000000" w:themeColor="text1"/>
          <w:kern w:val="0"/>
          <w:sz w:val="32"/>
          <w:szCs w:val="32"/>
          <w:highlight w:val="none"/>
          <w:lang w:val="en-US" w:eastAsia="zh-CN"/>
          <w14:textFill>
            <w14:solidFill>
              <w14:schemeClr w14:val="tx1"/>
            </w14:solidFill>
          </w14:textFill>
        </w:rPr>
        <w:t>国家电网公司</w:t>
      </w:r>
      <w:r>
        <w:rPr>
          <w:rFonts w:hint="eastAsia" w:ascii="仿宋_GB2312" w:hAnsi="宋体" w:eastAsia="仿宋_GB2312" w:cs="宋体"/>
          <w:bCs/>
          <w:color w:val="000000" w:themeColor="text1"/>
          <w:kern w:val="0"/>
          <w:sz w:val="32"/>
          <w:szCs w:val="32"/>
          <w:highlight w:val="none"/>
          <w14:textFill>
            <w14:solidFill>
              <w14:schemeClr w14:val="tx1"/>
            </w14:solidFill>
          </w14:textFill>
        </w:rPr>
        <w:t>人力资源招聘平台登记的手机号码，提</w:t>
      </w:r>
      <w:r>
        <w:rPr>
          <w:rFonts w:hint="eastAsia" w:ascii="仿宋_GB2312" w:hAnsi="仿宋_GB2312" w:eastAsia="仿宋_GB2312" w:cs="仿宋_GB2312"/>
          <w:sz w:val="32"/>
          <w:highlight w:val="none"/>
        </w:rPr>
        <w:t>前申领“</w:t>
      </w:r>
      <w:r>
        <w:rPr>
          <w:rFonts w:hint="eastAsia" w:ascii="仿宋_GB2312" w:hAnsi="仿宋_GB2312" w:eastAsia="仿宋_GB2312" w:cs="仿宋_GB2312"/>
          <w:sz w:val="32"/>
          <w:highlight w:val="none"/>
          <w:lang w:val="en-US" w:eastAsia="zh-CN"/>
        </w:rPr>
        <w:t>湖北</w:t>
      </w:r>
      <w:r>
        <w:rPr>
          <w:rFonts w:hint="eastAsia" w:ascii="仿宋_GB2312" w:hAnsi="仿宋_GB2312" w:eastAsia="仿宋_GB2312" w:cs="仿宋_GB2312"/>
          <w:sz w:val="32"/>
          <w:highlight w:val="none"/>
        </w:rPr>
        <w:t>健康码”和“通信大数据行程卡”</w:t>
      </w:r>
      <w:r>
        <w:rPr>
          <w:rFonts w:hint="eastAsia" w:ascii="仿宋_GB2312" w:hAnsi="仿宋_GB2312" w:eastAsia="仿宋_GB2312" w:cs="仿宋_GB2312"/>
          <w:sz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highlight w:val="none"/>
          <w:lang w:eastAsia="zh-CN"/>
        </w:rPr>
      </w:pPr>
      <w:r>
        <w:rPr>
          <w:rFonts w:hint="eastAsia" w:ascii="仿宋_GB2312" w:hAnsi="仿宋_GB2312" w:eastAsia="仿宋_GB2312" w:cs="仿宋_GB2312"/>
          <w:sz w:val="32"/>
          <w:highlight w:val="none"/>
          <w:lang w:val="en-US" w:eastAsia="zh-CN"/>
        </w:rPr>
        <w:t>3.考生</w:t>
      </w:r>
      <w:r>
        <w:rPr>
          <w:rFonts w:hint="eastAsia" w:ascii="仿宋_GB2312" w:hAnsi="仿宋_GB2312" w:eastAsia="仿宋_GB2312" w:cs="仿宋_GB2312"/>
          <w:sz w:val="32"/>
          <w:highlight w:val="none"/>
          <w:lang w:eastAsia="zh-CN"/>
        </w:rPr>
        <w:t>从进入考点前第14天开始，应当每日测量体温，填写体温自我监测登记表（附件</w:t>
      </w:r>
      <w:r>
        <w:rPr>
          <w:rFonts w:hint="eastAsia" w:ascii="仿宋_GB2312" w:hAnsi="仿宋_GB2312" w:eastAsia="仿宋_GB2312" w:cs="仿宋_GB2312"/>
          <w:sz w:val="32"/>
          <w:highlight w:val="none"/>
          <w:lang w:val="en-US" w:eastAsia="zh-CN"/>
        </w:rPr>
        <w:t>1）并手写签名。</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4.考生应提前下载打印填写个人</w:t>
      </w:r>
      <w:r>
        <w:rPr>
          <w:rFonts w:hint="eastAsia" w:ascii="仿宋_GB2312" w:hAnsi="仿宋_GB2312" w:eastAsia="仿宋_GB2312" w:cs="仿宋_GB2312"/>
          <w:sz w:val="32"/>
          <w:highlight w:val="none"/>
          <w:lang w:eastAsia="zh-CN"/>
        </w:rPr>
        <w:t>健康承诺书（</w:t>
      </w:r>
      <w:r>
        <w:rPr>
          <w:rFonts w:hint="eastAsia" w:ascii="仿宋_GB2312" w:hAnsi="仿宋_GB2312" w:eastAsia="仿宋_GB2312" w:cs="仿宋_GB2312"/>
          <w:sz w:val="32"/>
          <w:highlight w:val="none"/>
          <w:lang w:val="en-US" w:eastAsia="zh-CN"/>
        </w:rPr>
        <w:t>附件2</w:t>
      </w:r>
      <w:r>
        <w:rPr>
          <w:rFonts w:hint="eastAsia" w:ascii="仿宋_GB2312" w:hAnsi="仿宋_GB2312" w:eastAsia="仿宋_GB2312" w:cs="仿宋_GB2312"/>
          <w:sz w:val="32"/>
          <w:highlight w:val="none"/>
          <w:lang w:eastAsia="zh-CN"/>
        </w:rPr>
        <w:t>）</w:t>
      </w:r>
      <w:r>
        <w:rPr>
          <w:rFonts w:hint="eastAsia" w:ascii="仿宋_GB2312" w:hAnsi="仿宋_GB2312" w:eastAsia="仿宋_GB2312" w:cs="仿宋_GB2312"/>
          <w:sz w:val="32"/>
          <w:highlight w:val="none"/>
          <w:lang w:val="en-US" w:eastAsia="zh-CN"/>
        </w:rPr>
        <w:t>并手写签名</w:t>
      </w:r>
      <w:r>
        <w:rPr>
          <w:rFonts w:hint="eastAsia" w:ascii="仿宋_GB2312" w:hAnsi="仿宋_GB2312" w:eastAsia="仿宋_GB2312" w:cs="仿宋_GB2312"/>
          <w:sz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lang w:eastAsia="zh-CN"/>
        </w:rPr>
      </w:pPr>
      <w:r>
        <w:rPr>
          <w:rFonts w:hint="eastAsia" w:ascii="仿宋_GB2312" w:hAnsi="仿宋_GB2312" w:eastAsia="仿宋_GB2312" w:cs="仿宋_GB2312"/>
          <w:sz w:val="32"/>
          <w:highlight w:val="none"/>
          <w:lang w:val="en-US" w:eastAsia="zh-CN"/>
        </w:rPr>
        <w:t>5.考生应</w:t>
      </w:r>
      <w:r>
        <w:rPr>
          <w:rFonts w:hint="eastAsia" w:ascii="仿宋_GB2312" w:hAnsi="仿宋_GB2312" w:eastAsia="仿宋_GB2312" w:cs="仿宋_GB2312"/>
          <w:sz w:val="32"/>
          <w:highlight w:val="none"/>
          <w:lang w:eastAsia="zh-CN"/>
        </w:rPr>
        <w:t>实时关注国内中高风险区变化情况，实时查询</w:t>
      </w:r>
      <w:r>
        <w:rPr>
          <w:rFonts w:hint="eastAsia" w:ascii="仿宋_GB2312" w:hAnsi="仿宋_GB2312" w:eastAsia="仿宋_GB2312" w:cs="仿宋_GB2312"/>
          <w:b/>
          <w:bCs/>
          <w:sz w:val="32"/>
          <w:highlight w:val="none"/>
          <w:lang w:eastAsia="zh-CN"/>
        </w:rPr>
        <w:t>武汉</w:t>
      </w:r>
      <w:r>
        <w:rPr>
          <w:rFonts w:hint="eastAsia" w:ascii="仿宋_GB2312" w:hAnsi="仿宋_GB2312" w:eastAsia="仿宋_GB2312" w:cs="仿宋_GB2312"/>
          <w:b/>
          <w:bCs/>
          <w:sz w:val="32"/>
          <w:highlight w:val="none"/>
          <w:lang w:val="en-US" w:eastAsia="zh-CN"/>
        </w:rPr>
        <w:t>市疫情防控政策措施</w:t>
      </w:r>
      <w:r>
        <w:rPr>
          <w:rFonts w:hint="eastAsia" w:ascii="仿宋_GB2312" w:hAnsi="仿宋_GB2312" w:eastAsia="仿宋_GB2312" w:cs="仿宋_GB2312"/>
          <w:sz w:val="32"/>
          <w:highlight w:val="none"/>
          <w:lang w:eastAsia="zh-CN"/>
        </w:rPr>
        <w:t>，</w:t>
      </w:r>
      <w:r>
        <w:rPr>
          <w:rFonts w:hint="eastAsia" w:ascii="仿宋_GB2312" w:hAnsi="仿宋_GB2312" w:eastAsia="仿宋_GB2312" w:cs="仿宋_GB2312"/>
          <w:sz w:val="32"/>
          <w:lang w:val="en-US" w:eastAsia="zh-CN"/>
        </w:rPr>
        <w:t>提前做好考试出行住宿安排和相关疫情防控准备。具体</w:t>
      </w:r>
      <w:r>
        <w:rPr>
          <w:rFonts w:hint="eastAsia" w:ascii="仿宋_GB2312" w:hAnsi="仿宋_GB2312" w:eastAsia="仿宋_GB2312" w:cs="仿宋_GB2312"/>
          <w:sz w:val="32"/>
          <w:highlight w:val="none"/>
          <w:lang w:eastAsia="zh-CN"/>
        </w:rPr>
        <w:t>查询方法</w:t>
      </w:r>
      <w:r>
        <w:rPr>
          <w:rFonts w:hint="eastAsia" w:ascii="仿宋_GB2312" w:hAnsi="仿宋_GB2312" w:eastAsia="仿宋_GB2312" w:cs="仿宋_GB2312"/>
          <w:sz w:val="32"/>
          <w:highlight w:val="none"/>
          <w:lang w:val="en-US" w:eastAsia="zh-CN"/>
        </w:rPr>
        <w:t>参</w:t>
      </w:r>
      <w:r>
        <w:rPr>
          <w:rFonts w:hint="eastAsia" w:ascii="仿宋_GB2312" w:hAnsi="仿宋_GB2312" w:eastAsia="仿宋_GB2312" w:cs="仿宋_GB2312"/>
          <w:sz w:val="32"/>
          <w:highlight w:val="none"/>
          <w:lang w:eastAsia="zh-CN"/>
        </w:rPr>
        <w:t>见附件</w:t>
      </w:r>
      <w:r>
        <w:rPr>
          <w:rFonts w:hint="eastAsia" w:ascii="仿宋_GB2312" w:hAnsi="仿宋_GB2312" w:eastAsia="仿宋_GB2312" w:cs="仿宋_GB2312"/>
          <w:sz w:val="32"/>
          <w:highlight w:val="none"/>
          <w:lang w:val="en-US" w:eastAsia="zh-CN"/>
        </w:rPr>
        <w:t>3</w:t>
      </w:r>
      <w:r>
        <w:rPr>
          <w:rFonts w:hint="eastAsia" w:ascii="仿宋_GB2312" w:hAnsi="仿宋_GB2312" w:eastAsia="仿宋_GB2312" w:cs="仿宋_GB2312"/>
          <w:sz w:val="32"/>
          <w:highlight w:val="none"/>
          <w:lang w:eastAsia="zh-CN"/>
        </w:rPr>
        <w:t>。</w:t>
      </w:r>
    </w:p>
    <w:p>
      <w:pPr>
        <w:pStyle w:val="6"/>
        <w:keepNext w:val="0"/>
        <w:keepLines w:val="0"/>
        <w:pageBreakBefore w:val="0"/>
        <w:kinsoku/>
        <w:wordWrap/>
        <w:overflowPunct/>
        <w:topLinePunct w:val="0"/>
        <w:autoSpaceDN/>
        <w:bidi w:val="0"/>
        <w:adjustRightInd w:val="0"/>
        <w:snapToGrid w:val="0"/>
        <w:spacing w:line="600" w:lineRule="exact"/>
        <w:ind w:firstLine="643"/>
        <w:rPr>
          <w:rFonts w:hint="eastAsia" w:ascii="楷体_GB2312" w:eastAsia="楷体_GB2312"/>
          <w:b/>
          <w:bCs/>
          <w:sz w:val="32"/>
          <w:szCs w:val="32"/>
          <w:lang w:val="en-US" w:eastAsia="zh-CN"/>
        </w:rPr>
      </w:pPr>
      <w:r>
        <w:rPr>
          <w:rFonts w:hint="eastAsia" w:ascii="楷体_GB2312" w:eastAsia="楷体_GB2312"/>
          <w:b/>
          <w:bCs/>
          <w:sz w:val="32"/>
          <w:szCs w:val="32"/>
          <w:lang w:val="en-US" w:eastAsia="zh-CN"/>
        </w:rPr>
        <w:t>（二）进入考点</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highlight w:val="none"/>
          <w:lang w:val="en-US" w:eastAsia="zh-CN"/>
        </w:rPr>
      </w:pPr>
      <w:r>
        <w:rPr>
          <w:rFonts w:hint="eastAsia" w:ascii="仿宋_GB2312" w:hAnsi="仿宋_GB2312" w:eastAsia="仿宋_GB2312" w:cs="仿宋_GB2312"/>
          <w:b/>
          <w:bCs/>
          <w:sz w:val="32"/>
          <w:highlight w:val="none"/>
          <w:lang w:val="en-US" w:eastAsia="zh-CN"/>
        </w:rPr>
        <w:t>1.准入条件</w:t>
      </w:r>
    </w:p>
    <w:p>
      <w:pPr>
        <w:pStyle w:val="2"/>
        <w:keepNext w:val="0"/>
        <w:keepLines w:val="0"/>
        <w:pageBreakBefore w:val="0"/>
        <w:kinsoku/>
        <w:wordWrap/>
        <w:overflowPunct/>
        <w:topLinePunct w:val="0"/>
        <w:autoSpaceDN/>
        <w:bidi w:val="0"/>
        <w:adjustRightInd w:val="0"/>
        <w:snapToGrid w:val="0"/>
        <w:spacing w:line="600" w:lineRule="exact"/>
        <w:ind w:left="0" w:leftChars="0" w:firstLine="640" w:firstLineChars="200"/>
        <w:rPr>
          <w:rFonts w:hint="default"/>
          <w:lang w:val="en-US"/>
        </w:rPr>
      </w:pPr>
      <w:r>
        <w:rPr>
          <w:rFonts w:hint="eastAsia" w:ascii="仿宋_GB2312" w:hAnsi="仿宋_GB2312" w:eastAsia="仿宋_GB2312" w:cs="仿宋_GB2312"/>
          <w:sz w:val="32"/>
          <w:lang w:val="en-US" w:eastAsia="zh-CN"/>
        </w:rPr>
        <w:t>（1）资格审查当天考生凭资格审查通知短信进入考点。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（2）考生资格审查首次进入考点应持有进入考点前7日内和48小时内</w:t>
      </w:r>
      <w:r>
        <w:rPr>
          <w:rFonts w:hint="eastAsia" w:ascii="仿宋_GB2312" w:hAnsi="仿宋_GB2312" w:eastAsia="仿宋_GB2312" w:cs="仿宋_GB2312"/>
          <w:b/>
          <w:bCs/>
          <w:sz w:val="32"/>
          <w:highlight w:val="none"/>
          <w:lang w:val="en-US" w:eastAsia="zh-CN"/>
        </w:rPr>
        <w:t>2次</w:t>
      </w:r>
      <w:r>
        <w:rPr>
          <w:rFonts w:hint="eastAsia" w:ascii="仿宋_GB2312" w:hAnsi="仿宋_GB2312" w:eastAsia="仿宋_GB2312" w:cs="仿宋_GB2312"/>
          <w:sz w:val="32"/>
          <w:highlight w:val="none"/>
          <w:lang w:val="en-US" w:eastAsia="zh-CN"/>
        </w:rPr>
        <w:t>核酸检测阴性</w:t>
      </w:r>
      <w:r>
        <w:rPr>
          <w:rFonts w:hint="eastAsia" w:ascii="仿宋_GB2312" w:hAnsi="仿宋_GB2312" w:eastAsia="仿宋_GB2312" w:cs="仿宋_GB2312"/>
          <w:b/>
          <w:bCs/>
          <w:sz w:val="32"/>
          <w:highlight w:val="none"/>
          <w:lang w:val="en-US" w:eastAsia="zh-CN"/>
        </w:rPr>
        <w:t>纸质证明</w:t>
      </w:r>
      <w:r>
        <w:rPr>
          <w:rFonts w:hint="eastAsia" w:ascii="仿宋_GB2312" w:hAnsi="仿宋_GB2312" w:eastAsia="仿宋_GB2312" w:cs="仿宋_GB2312"/>
          <w:sz w:val="32"/>
          <w:highlight w:val="none"/>
          <w:lang w:val="en-US" w:eastAsia="zh-CN"/>
        </w:rPr>
        <w:t>；核酸检测有效期从采样时间开始计算，7日内采样时间为2021年12月26日（含26日）至2022年1月1日，48小时内为2021年12月30日（含30日）至2022年1月1日，两次核酸检测采样需至少间隔24小时。</w:t>
      </w:r>
      <w:r>
        <w:rPr>
          <w:rFonts w:hint="eastAsia" w:ascii="仿宋_GB2312" w:hAnsi="仿宋_GB2312" w:eastAsia="仿宋_GB2312" w:cs="仿宋_GB2312"/>
          <w:b/>
          <w:bCs/>
          <w:sz w:val="32"/>
          <w:highlight w:val="none"/>
          <w:lang w:val="en-US" w:eastAsia="zh-CN"/>
        </w:rPr>
        <w:t>核酸检测报告上须准确显示采样时间，要精确到小时。</w:t>
      </w:r>
      <w:r>
        <w:rPr>
          <w:rFonts w:hint="eastAsia" w:ascii="仿宋_GB2312" w:hAnsi="仿宋_GB2312" w:eastAsia="仿宋_GB2312" w:cs="仿宋_GB2312"/>
          <w:sz w:val="32"/>
          <w:highlight w:val="none"/>
          <w:lang w:val="en-US" w:eastAsia="zh-CN"/>
        </w:rPr>
        <w:t>7日内核酸报告须为全国范围内具有新冠肺炎病毒检测资质的机构出具，48小时核酸检测阴性证明须由</w:t>
      </w:r>
      <w:r>
        <w:rPr>
          <w:rFonts w:hint="eastAsia" w:ascii="仿宋_GB2312" w:hAnsi="仿宋_GB2312" w:eastAsia="仿宋_GB2312"/>
          <w:b/>
          <w:bCs/>
          <w:sz w:val="32"/>
          <w:lang w:val="en-US" w:eastAsia="zh-CN"/>
        </w:rPr>
        <w:t>武汉市洪山区</w:t>
      </w:r>
      <w:r>
        <w:rPr>
          <w:rFonts w:hint="eastAsia" w:ascii="仿宋_GB2312" w:hAnsi="仿宋_GB2312" w:eastAsia="仿宋_GB2312" w:cs="仿宋_GB2312"/>
          <w:sz w:val="32"/>
          <w:highlight w:val="none"/>
          <w:lang w:val="en-US" w:eastAsia="zh-CN"/>
        </w:rPr>
        <w:t>具有新冠肺炎病毒检测资质医疗机构出具。</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（3）现场</w:t>
      </w:r>
      <w:r>
        <w:rPr>
          <w:rFonts w:hint="eastAsia" w:ascii="仿宋_GB2312" w:hAnsi="仿宋_GB2312" w:eastAsia="仿宋_GB2312" w:cs="仿宋_GB2312"/>
          <w:sz w:val="32"/>
          <w:highlight w:val="none"/>
        </w:rPr>
        <w:t>“</w:t>
      </w:r>
      <w:r>
        <w:rPr>
          <w:rFonts w:hint="eastAsia" w:ascii="仿宋_GB2312" w:hAnsi="仿宋_GB2312" w:eastAsia="仿宋_GB2312" w:cs="仿宋_GB2312"/>
          <w:sz w:val="32"/>
          <w:highlight w:val="none"/>
          <w:lang w:val="en-US" w:eastAsia="zh-CN"/>
        </w:rPr>
        <w:t>湖北</w:t>
      </w:r>
      <w:r>
        <w:rPr>
          <w:rFonts w:hint="eastAsia" w:ascii="仿宋_GB2312" w:hAnsi="仿宋_GB2312" w:eastAsia="仿宋_GB2312" w:cs="仿宋_GB2312"/>
          <w:sz w:val="32"/>
          <w:highlight w:val="none"/>
        </w:rPr>
        <w:t>健康码”和“通信大数据行程卡”</w:t>
      </w:r>
      <w:r>
        <w:rPr>
          <w:rFonts w:hint="eastAsia" w:ascii="仿宋_GB2312" w:hAnsi="仿宋_GB2312" w:eastAsia="仿宋_GB2312" w:cs="仿宋_GB2312"/>
          <w:sz w:val="32"/>
          <w:highlight w:val="none"/>
          <w:lang w:val="en-US" w:eastAsia="zh-CN"/>
        </w:rPr>
        <w:t>均为绿码且健康状况正常，现场测量体温正常（低于37.3℃）。</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（4）出示纸质版的新冠疫苗接种证明或健康码中接种记录（不能接种者提供相关医学证明）。</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（5）出示本人手写签名的14天体温自我监测登记表和个人健康承诺书。</w:t>
      </w:r>
    </w:p>
    <w:p>
      <w:pPr>
        <w:keepNext w:val="0"/>
        <w:keepLines w:val="0"/>
        <w:pageBreakBefore w:val="0"/>
        <w:kinsoku/>
        <w:wordWrap/>
        <w:overflowPunct/>
        <w:topLinePunct w:val="0"/>
        <w:autoSpaceDN/>
        <w:bidi w:val="0"/>
        <w:adjustRightInd w:val="0"/>
        <w:snapToGrid w:val="0"/>
        <w:spacing w:line="600" w:lineRule="exact"/>
        <w:ind w:firstLine="648"/>
        <w:rPr>
          <w:rFonts w:hint="eastAsia"/>
          <w:lang w:val="en-US" w:eastAsia="zh-CN"/>
        </w:rPr>
      </w:pPr>
      <w:r>
        <w:rPr>
          <w:rFonts w:hint="eastAsia" w:ascii="仿宋_GB2312" w:hAnsi="仿宋_GB2312" w:eastAsia="仿宋_GB2312" w:cs="仿宋_GB2312"/>
          <w:sz w:val="32"/>
          <w:lang w:val="en-US" w:eastAsia="zh-CN"/>
        </w:rPr>
        <w:t>（6）</w:t>
      </w:r>
      <w:r>
        <w:rPr>
          <w:rFonts w:hint="eastAsia" w:ascii="仿宋_GB2312" w:hAnsi="仿宋_GB2312" w:eastAsia="仿宋_GB2312"/>
          <w:sz w:val="32"/>
          <w:lang w:val="en-US" w:eastAsia="zh-CN"/>
        </w:rPr>
        <w:t>资格审查时考生个人防疫资料（</w:t>
      </w:r>
      <w:r>
        <w:rPr>
          <w:rFonts w:hint="eastAsia" w:ascii="仿宋_GB2312" w:hAnsi="仿宋_GB2312" w:eastAsia="仿宋_GB2312"/>
          <w:b/>
          <w:bCs/>
          <w:sz w:val="32"/>
          <w:lang w:val="en-US" w:eastAsia="zh-CN"/>
        </w:rPr>
        <w:t>2次核酸检测阴性纸质证明、</w:t>
      </w:r>
      <w:r>
        <w:rPr>
          <w:rFonts w:hint="eastAsia" w:ascii="仿宋_GB2312" w:hAnsi="仿宋_GB2312" w:eastAsia="仿宋_GB2312" w:cs="仿宋_GB2312"/>
          <w:b/>
          <w:bCs/>
          <w:sz w:val="32"/>
          <w:highlight w:val="none"/>
          <w:lang w:val="en-US" w:eastAsia="zh-CN"/>
        </w:rPr>
        <w:t>新冠疫苗接种纸质证明</w:t>
      </w:r>
      <w:r>
        <w:rPr>
          <w:rFonts w:hint="eastAsia" w:ascii="仿宋_GB2312" w:hAnsi="仿宋_GB2312" w:eastAsia="仿宋_GB2312"/>
          <w:b/>
          <w:bCs/>
          <w:sz w:val="32"/>
          <w:lang w:val="en-US" w:eastAsia="zh-CN"/>
        </w:rPr>
        <w:t>、14天体温自我监测登记表、个人健康承诺书</w:t>
      </w:r>
      <w:r>
        <w:rPr>
          <w:rFonts w:hint="eastAsia" w:ascii="仿宋_GB2312" w:hAnsi="仿宋_GB2312" w:eastAsia="仿宋_GB2312"/>
          <w:sz w:val="32"/>
          <w:lang w:val="en-US" w:eastAsia="zh-CN"/>
        </w:rPr>
        <w:t>）同步核查备案</w:t>
      </w:r>
      <w:r>
        <w:rPr>
          <w:rFonts w:hint="eastAsia" w:ascii="仿宋_GB2312" w:hAnsi="仿宋_GB2312" w:eastAsia="仿宋_GB2312"/>
          <w:sz w:val="32"/>
        </w:rPr>
        <w:t>。</w:t>
      </w:r>
      <w:r>
        <w:rPr>
          <w:rFonts w:hint="eastAsia" w:ascii="仿宋_GB2312" w:hAnsi="仿宋_GB2312" w:eastAsia="仿宋_GB2312" w:cs="仿宋_GB2312"/>
          <w:sz w:val="32"/>
          <w:highlight w:val="none"/>
          <w:lang w:val="en-US" w:eastAsia="zh-CN"/>
        </w:rPr>
        <w:t>资格审查合格考生</w:t>
      </w:r>
      <w:r>
        <w:rPr>
          <w:rFonts w:hint="eastAsia" w:ascii="仿宋_GB2312" w:hAnsi="仿宋_GB2312" w:eastAsia="仿宋_GB2312" w:cs="仿宋_GB2312"/>
          <w:b w:val="0"/>
          <w:bCs w:val="0"/>
          <w:sz w:val="32"/>
          <w:lang w:val="en-US" w:eastAsia="zh-CN"/>
        </w:rPr>
        <w:t>1月2日</w:t>
      </w:r>
      <w:r>
        <w:rPr>
          <w:rFonts w:hint="eastAsia" w:ascii="仿宋_GB2312" w:hAnsi="仿宋_GB2312" w:eastAsia="仿宋_GB2312" w:cs="仿宋_GB2312"/>
          <w:sz w:val="32"/>
          <w:highlight w:val="none"/>
          <w:lang w:val="en-US" w:eastAsia="zh-CN"/>
        </w:rPr>
        <w:t>参加考试持笔试准考证，经查验湖北</w:t>
      </w:r>
      <w:r>
        <w:rPr>
          <w:rFonts w:hint="eastAsia" w:ascii="仿宋_GB2312" w:hAnsi="仿宋_GB2312" w:eastAsia="仿宋_GB2312" w:cs="仿宋_GB2312"/>
          <w:sz w:val="32"/>
          <w:highlight w:val="none"/>
        </w:rPr>
        <w:t>健康码和通信大数据行程卡</w:t>
      </w:r>
      <w:r>
        <w:rPr>
          <w:rFonts w:hint="eastAsia" w:ascii="仿宋_GB2312" w:hAnsi="仿宋_GB2312" w:eastAsia="仿宋_GB2312" w:cs="仿宋_GB2312"/>
          <w:sz w:val="32"/>
          <w:highlight w:val="none"/>
          <w:lang w:val="en-US" w:eastAsia="zh-CN"/>
        </w:rPr>
        <w:t>合格进入考点。</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default" w:ascii="仿宋_GB2312" w:hAnsi="仿宋_GB2312" w:eastAsia="仿宋_GB2312" w:cs="仿宋_GB2312"/>
          <w:b/>
          <w:bCs/>
          <w:sz w:val="32"/>
          <w:highlight w:val="none"/>
          <w:lang w:val="en-US" w:eastAsia="zh-CN"/>
        </w:rPr>
      </w:pPr>
      <w:r>
        <w:rPr>
          <w:rFonts w:hint="eastAsia" w:ascii="仿宋_GB2312" w:hAnsi="仿宋_GB2312" w:eastAsia="仿宋_GB2312" w:cs="仿宋_GB2312"/>
          <w:b/>
          <w:bCs/>
          <w:sz w:val="32"/>
          <w:highlight w:val="none"/>
          <w:lang w:val="en-US" w:eastAsia="zh-CN"/>
        </w:rPr>
        <w:t>2.注意事项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bCs/>
          <w:sz w:val="32"/>
        </w:rPr>
      </w:pPr>
      <w:r>
        <w:rPr>
          <w:rFonts w:hint="eastAsia" w:ascii="仿宋_GB2312" w:hAnsi="仿宋_GB2312" w:eastAsia="仿宋_GB2312" w:cs="仿宋_GB2312"/>
          <w:sz w:val="32"/>
          <w:lang w:val="en-US" w:eastAsia="zh-CN"/>
        </w:rPr>
        <w:t>（1）考点门口设有常规通道和特殊通道。考生应按照短信通知的时段和通道进入考点。</w:t>
      </w:r>
      <w:r>
        <w:rPr>
          <w:rFonts w:hint="eastAsia" w:ascii="仿宋_GB2312" w:hAnsi="仿宋_GB2312" w:eastAsia="仿宋_GB2312" w:cs="仿宋_GB2312"/>
          <w:b/>
          <w:bCs/>
          <w:sz w:val="32"/>
        </w:rPr>
        <w:t>所有送考、陪考人员一律不得进入考点。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（2）每个通道设置3个查验环节。</w:t>
      </w:r>
      <w:r>
        <w:rPr>
          <w:rFonts w:hint="eastAsia" w:ascii="仿宋_GB2312" w:hAnsi="仿宋_GB2312" w:eastAsia="仿宋_GB2312" w:cs="仿宋_GB2312"/>
          <w:b/>
          <w:bCs/>
          <w:sz w:val="32"/>
          <w:lang w:val="en-US" w:eastAsia="zh-CN"/>
        </w:rPr>
        <w:t>第1个环节</w:t>
      </w:r>
      <w:r>
        <w:rPr>
          <w:rFonts w:hint="eastAsia" w:ascii="仿宋_GB2312" w:hAnsi="仿宋_GB2312" w:eastAsia="仿宋_GB2312" w:cs="仿宋_GB2312"/>
          <w:sz w:val="32"/>
          <w:lang w:val="en-US" w:eastAsia="zh-CN"/>
        </w:rPr>
        <w:t>查验7</w:t>
      </w:r>
      <w:r>
        <w:rPr>
          <w:rFonts w:hint="eastAsia" w:ascii="仿宋_GB2312" w:hAnsi="仿宋_GB2312" w:eastAsia="仿宋_GB2312" w:cs="仿宋_GB2312"/>
          <w:sz w:val="32"/>
          <w:highlight w:val="none"/>
          <w:lang w:val="en-US" w:eastAsia="zh-CN"/>
        </w:rPr>
        <w:t>日内和48小时内</w:t>
      </w:r>
      <w:r>
        <w:rPr>
          <w:rFonts w:hint="eastAsia" w:ascii="仿宋_GB2312" w:hAnsi="仿宋_GB2312" w:eastAsia="仿宋_GB2312" w:cs="仿宋_GB2312"/>
          <w:sz w:val="32"/>
          <w:lang w:val="en-US" w:eastAsia="zh-CN"/>
        </w:rPr>
        <w:t>2次核酸检测阴性证明和并测体温；</w:t>
      </w:r>
      <w:r>
        <w:rPr>
          <w:rFonts w:hint="eastAsia" w:ascii="仿宋_GB2312" w:hAnsi="仿宋_GB2312" w:eastAsia="仿宋_GB2312" w:cs="仿宋_GB2312"/>
          <w:b/>
          <w:bCs/>
          <w:sz w:val="32"/>
          <w:lang w:val="en-US" w:eastAsia="zh-CN"/>
        </w:rPr>
        <w:t>第2个环节</w:t>
      </w:r>
      <w:r>
        <w:rPr>
          <w:rFonts w:hint="eastAsia" w:ascii="仿宋_GB2312" w:hAnsi="仿宋_GB2312" w:eastAsia="仿宋_GB2312" w:cs="仿宋_GB2312"/>
          <w:sz w:val="32"/>
          <w:lang w:val="en-US" w:eastAsia="zh-CN"/>
        </w:rPr>
        <w:t>查验</w:t>
      </w:r>
      <w:r>
        <w:rPr>
          <w:rFonts w:hint="eastAsia" w:ascii="仿宋_GB2312" w:hAnsi="仿宋_GB2312" w:eastAsia="仿宋_GB2312" w:cs="仿宋_GB2312"/>
          <w:sz w:val="32"/>
          <w:highlight w:val="none"/>
          <w:lang w:val="en-US" w:eastAsia="zh-CN"/>
        </w:rPr>
        <w:t>湖北</w:t>
      </w:r>
      <w:r>
        <w:rPr>
          <w:rFonts w:hint="eastAsia" w:ascii="仿宋_GB2312" w:hAnsi="仿宋_GB2312" w:eastAsia="仿宋_GB2312" w:cs="仿宋_GB2312"/>
          <w:sz w:val="32"/>
          <w:highlight w:val="none"/>
        </w:rPr>
        <w:t>健康码</w:t>
      </w:r>
      <w:r>
        <w:rPr>
          <w:rFonts w:hint="eastAsia" w:ascii="仿宋_GB2312" w:hAnsi="仿宋_GB2312" w:eastAsia="仿宋_GB2312" w:cs="仿宋_GB2312"/>
          <w:sz w:val="32"/>
          <w:lang w:val="en-US" w:eastAsia="zh-CN"/>
        </w:rPr>
        <w:t>和新冠疫苗接种记录，</w:t>
      </w:r>
      <w:r>
        <w:rPr>
          <w:rFonts w:hint="eastAsia" w:ascii="仿宋_GB2312" w:hAnsi="仿宋_GB2312" w:eastAsia="仿宋_GB2312" w:cs="仿宋_GB2312"/>
          <w:sz w:val="32"/>
          <w:highlight w:val="none"/>
          <w:lang w:val="en-US" w:eastAsia="zh-CN"/>
        </w:rPr>
        <w:t>湖北</w:t>
      </w:r>
      <w:r>
        <w:rPr>
          <w:rFonts w:hint="eastAsia" w:ascii="仿宋_GB2312" w:hAnsi="仿宋_GB2312" w:eastAsia="仿宋_GB2312" w:cs="仿宋_GB2312"/>
          <w:sz w:val="32"/>
          <w:highlight w:val="none"/>
        </w:rPr>
        <w:t>健康码</w:t>
      </w:r>
      <w:r>
        <w:rPr>
          <w:rFonts w:hint="eastAsia" w:ascii="仿宋_GB2312" w:hAnsi="仿宋_GB2312" w:eastAsia="仿宋_GB2312" w:cs="仿宋_GB2312"/>
          <w:sz w:val="32"/>
          <w:lang w:val="en-US" w:eastAsia="zh-CN"/>
        </w:rPr>
        <w:t>必须点击进入；</w:t>
      </w:r>
      <w:r>
        <w:rPr>
          <w:rFonts w:hint="eastAsia" w:ascii="仿宋_GB2312" w:hAnsi="仿宋_GB2312" w:eastAsia="仿宋_GB2312" w:cs="仿宋_GB2312"/>
          <w:b/>
          <w:bCs/>
          <w:sz w:val="32"/>
          <w:lang w:val="en-US" w:eastAsia="zh-CN"/>
        </w:rPr>
        <w:t>第3个环节</w:t>
      </w:r>
      <w:r>
        <w:rPr>
          <w:rFonts w:hint="eastAsia" w:ascii="仿宋_GB2312" w:hAnsi="仿宋_GB2312" w:eastAsia="仿宋_GB2312" w:cs="仿宋_GB2312"/>
          <w:sz w:val="32"/>
          <w:lang w:val="en-US" w:eastAsia="zh-CN"/>
        </w:rPr>
        <w:t>查验</w:t>
      </w:r>
      <w:r>
        <w:rPr>
          <w:rFonts w:hint="eastAsia" w:ascii="仿宋_GB2312" w:hAnsi="仿宋_GB2312" w:eastAsia="仿宋_GB2312" w:cs="仿宋_GB2312"/>
          <w:sz w:val="32"/>
          <w:highlight w:val="none"/>
        </w:rPr>
        <w:t>通信大数据行程卡</w:t>
      </w:r>
      <w:r>
        <w:rPr>
          <w:rFonts w:hint="eastAsia" w:ascii="仿宋_GB2312" w:hAnsi="仿宋_GB2312" w:eastAsia="仿宋_GB2312" w:cs="仿宋_GB2312"/>
          <w:sz w:val="32"/>
          <w:lang w:val="en-US" w:eastAsia="zh-CN"/>
        </w:rPr>
        <w:t>、体温自我监测登记表。3个查验环节之间设置排队通道，考生应按照1米线设置有序排队。</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符合其他疫情防控要求，但体温测试高于37.3℃的考生，须立即进入</w:t>
      </w:r>
      <w:r>
        <w:rPr>
          <w:rFonts w:hint="eastAsia" w:ascii="仿宋_GB2312" w:hAnsi="仿宋_GB2312" w:eastAsia="仿宋_GB2312" w:cs="仿宋_GB2312"/>
          <w:sz w:val="32"/>
          <w:lang w:val="en-US" w:eastAsia="zh-CN"/>
        </w:rPr>
        <w:t>门口留观点</w:t>
      </w:r>
      <w:r>
        <w:rPr>
          <w:rFonts w:hint="eastAsia" w:ascii="仿宋_GB2312" w:hAnsi="仿宋_GB2312" w:eastAsia="仿宋_GB2312" w:cs="仿宋_GB2312"/>
          <w:sz w:val="32"/>
        </w:rPr>
        <w:t>，间隔15分钟后，由现场医务人员使用水银体温计进行体温复测。经复测体温正常（低于37.3℃），可以安排在隔离考场进行考试。经复测体温仍高于37.3℃的考生，不得进入考点参加本次考试。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（4）考生</w:t>
      </w:r>
      <w:r>
        <w:rPr>
          <w:rFonts w:hint="eastAsia" w:ascii="仿宋_GB2312" w:hAnsi="仿宋_GB2312" w:eastAsia="仿宋_GB2312" w:cs="仿宋_GB2312"/>
          <w:sz w:val="32"/>
        </w:rPr>
        <w:t>进入考点后，全程佩戴一次性医用口罩或无呼吸阀的N95口罩，保持安全间隔距离。</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（5）资格审查地点设立核酸检测点，对考生进行全员核酸检测。考生必须服从工作人员的管理，配合做好排队、核酸检测、信息收集、疫情排查相关工作</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pPr>
      <w:r>
        <w:rPr>
          <w:rFonts w:hint="eastAsia" w:ascii="仿宋_GB2312" w:hAnsi="仿宋_GB2312" w:eastAsia="仿宋_GB2312" w:cs="仿宋_GB2312"/>
          <w:sz w:val="32"/>
          <w:lang w:val="en-US" w:eastAsia="zh-CN"/>
        </w:rPr>
        <w:t>（6）考试检录时考生应按指定地点等候，保持防疫安全距离，按照指示排队有序进场</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考试结束后，考生应按</w:t>
      </w:r>
      <w:r>
        <w:rPr>
          <w:rFonts w:hint="eastAsia" w:ascii="仿宋_GB2312" w:hAnsi="仿宋_GB2312" w:eastAsia="仿宋_GB2312" w:cs="仿宋_GB2312"/>
          <w:sz w:val="32"/>
          <w:lang w:val="en-US" w:eastAsia="zh-CN"/>
        </w:rPr>
        <w:t>要求</w:t>
      </w:r>
      <w:r>
        <w:rPr>
          <w:rFonts w:hint="eastAsia" w:ascii="仿宋_GB2312" w:hAnsi="仿宋_GB2312" w:eastAsia="仿宋_GB2312" w:cs="仿宋_GB2312"/>
          <w:sz w:val="32"/>
        </w:rPr>
        <w:t>分批离开考点，不得在考场、考点附近聚集。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仿宋_GB2312"/>
          <w:sz w:val="32"/>
          <w:lang w:val="en-US" w:eastAsia="zh-CN"/>
        </w:rPr>
      </w:pPr>
      <w:r>
        <w:rPr>
          <w:rFonts w:hint="eastAsia" w:ascii="黑体" w:hAnsi="黑体" w:eastAsia="黑体" w:cs="仿宋_GB2312"/>
          <w:sz w:val="32"/>
          <w:lang w:val="en-US" w:eastAsia="zh-CN"/>
        </w:rPr>
        <w:t>三、特别提示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highlight w:val="yellow"/>
          <w:lang w:val="en-US" w:eastAsia="zh-CN"/>
        </w:rPr>
      </w:pPr>
      <w:bookmarkStart w:id="0" w:name="_GoBack"/>
      <w:r>
        <w:rPr>
          <w:rFonts w:hint="eastAsia" w:ascii="仿宋_GB2312" w:hAnsi="仿宋_GB2312" w:eastAsia="仿宋_GB2312" w:cs="仿宋_GB2312"/>
          <w:sz w:val="32"/>
          <w:lang w:val="en-US" w:eastAsia="zh-CN"/>
        </w:rPr>
        <w:t>1.</w:t>
      </w:r>
      <w:r>
        <w:rPr>
          <w:rFonts w:hint="eastAsia" w:ascii="仿宋_GB2312" w:hAnsi="仿宋_GB2312" w:eastAsia="仿宋_GB2312" w:cs="仿宋_GB2312"/>
          <w:color w:val="auto"/>
          <w:sz w:val="32"/>
          <w:highlight w:val="none"/>
          <w:lang w:val="en-US" w:eastAsia="zh-CN"/>
        </w:rPr>
        <w:t>中高风险地区所在市（州、盟）人员不参加考试。28天内有国内中高风险地区和境外旅居史的人员按</w:t>
      </w:r>
      <w:r>
        <w:rPr>
          <w:rFonts w:hint="eastAsia" w:ascii="仿宋_GB2312" w:hAnsi="仿宋_GB2312" w:eastAsia="仿宋_GB2312" w:cs="仿宋_GB2312"/>
          <w:b/>
          <w:bCs/>
          <w:color w:val="auto"/>
          <w:sz w:val="32"/>
          <w:highlight w:val="none"/>
          <w:lang w:val="en-US" w:eastAsia="zh-CN"/>
        </w:rPr>
        <w:t>武汉市</w:t>
      </w:r>
      <w:r>
        <w:rPr>
          <w:rFonts w:hint="eastAsia" w:ascii="仿宋_GB2312" w:hAnsi="仿宋_GB2312" w:eastAsia="仿宋_GB2312" w:cs="仿宋_GB2312"/>
          <w:b w:val="0"/>
          <w:bCs w:val="0"/>
          <w:color w:val="auto"/>
          <w:sz w:val="32"/>
          <w:highlight w:val="none"/>
          <w:lang w:val="en-US" w:eastAsia="zh-CN"/>
        </w:rPr>
        <w:t>防疫</w:t>
      </w:r>
      <w:r>
        <w:rPr>
          <w:rFonts w:hint="eastAsia" w:ascii="仿宋_GB2312" w:hAnsi="仿宋_GB2312" w:eastAsia="仿宋_GB2312" w:cs="仿宋_GB2312"/>
          <w:color w:val="auto"/>
          <w:sz w:val="32"/>
          <w:highlight w:val="none"/>
          <w:lang w:val="en-US" w:eastAsia="zh-CN"/>
        </w:rPr>
        <w:t>要求完成集中隔离、居家隔离后方可参加考试。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2.参加考试的考生应提前做好考试期间的住宿和出行安排，提前做好相关疫情防控准备。尽可能做到居住地（入住宾馆）与考点之间“两点一线”。</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3.考生对个人身体健康情况的真实性负责。凡隐瞒病情或者不如实报告发热史、旅行史（旅居史）和接触史等信息，以及拒不配合考点疫情防控工作者，包括防疫检测、询问及排查，被取消考试资格，并依据法律法规移交相关部门处理，追究法律责任。</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4.考试</w:t>
      </w:r>
      <w:r>
        <w:rPr>
          <w:rFonts w:ascii="仿宋_GB2312" w:hAnsi="仿宋_GB2312" w:eastAsia="仿宋_GB2312" w:cs="仿宋_GB2312"/>
          <w:sz w:val="32"/>
        </w:rPr>
        <w:t>疫情防控</w:t>
      </w:r>
      <w:r>
        <w:rPr>
          <w:rFonts w:hint="eastAsia" w:ascii="仿宋_GB2312" w:hAnsi="仿宋_GB2312" w:eastAsia="仿宋_GB2312" w:cs="仿宋_GB2312"/>
          <w:sz w:val="32"/>
          <w:lang w:val="en-US" w:eastAsia="zh-CN"/>
        </w:rPr>
        <w:t>要求</w:t>
      </w:r>
      <w:r>
        <w:rPr>
          <w:rFonts w:ascii="仿宋_GB2312" w:hAnsi="仿宋_GB2312" w:eastAsia="仿宋_GB2312" w:cs="仿宋_GB2312"/>
          <w:sz w:val="32"/>
        </w:rPr>
        <w:t>根据</w:t>
      </w:r>
      <w:r>
        <w:rPr>
          <w:rFonts w:hint="eastAsia" w:ascii="仿宋_GB2312" w:hAnsi="仿宋_GB2312" w:eastAsia="仿宋_GB2312" w:cs="仿宋_GB2312"/>
          <w:sz w:val="32"/>
          <w:lang w:val="en-US" w:eastAsia="zh-CN"/>
        </w:rPr>
        <w:t>上级</w:t>
      </w:r>
      <w:r>
        <w:rPr>
          <w:rFonts w:ascii="仿宋_GB2312" w:hAnsi="仿宋_GB2312" w:eastAsia="仿宋_GB2312" w:cs="仿宋_GB2312"/>
          <w:sz w:val="32"/>
        </w:rPr>
        <w:t>疫情防控</w:t>
      </w:r>
      <w:r>
        <w:rPr>
          <w:rFonts w:hint="eastAsia" w:ascii="仿宋_GB2312" w:hAnsi="仿宋_GB2312" w:eastAsia="仿宋_GB2312" w:cs="仿宋_GB2312"/>
          <w:sz w:val="32"/>
          <w:lang w:val="en-US" w:eastAsia="zh-CN"/>
        </w:rPr>
        <w:t>措施规定变化随时调整，</w:t>
      </w:r>
      <w:r>
        <w:rPr>
          <w:rFonts w:ascii="仿宋_GB2312" w:hAnsi="仿宋_GB2312" w:eastAsia="仿宋_GB2312" w:cs="仿宋_GB2312"/>
          <w:sz w:val="32"/>
        </w:rPr>
        <w:t>请</w:t>
      </w:r>
      <w:r>
        <w:rPr>
          <w:rFonts w:hint="eastAsia" w:ascii="仿宋_GB2312" w:hAnsi="仿宋_GB2312" w:eastAsia="仿宋_GB2312" w:cs="仿宋_GB2312"/>
          <w:sz w:val="32"/>
        </w:rPr>
        <w:t>密切关注</w:t>
      </w:r>
      <w:r>
        <w:rPr>
          <w:rFonts w:hint="eastAsia" w:ascii="仿宋_GB2312" w:hAnsi="宋体" w:eastAsia="仿宋_GB2312" w:cs="宋体"/>
          <w:bCs/>
          <w:color w:val="000000" w:themeColor="text1"/>
          <w:kern w:val="0"/>
          <w:sz w:val="32"/>
          <w:szCs w:val="32"/>
          <w:highlight w:val="none"/>
          <w:lang w:val="en-US" w:eastAsia="zh-CN"/>
          <w14:textFill>
            <w14:solidFill>
              <w14:schemeClr w14:val="tx1"/>
            </w14:solidFill>
          </w14:textFill>
        </w:rPr>
        <w:t>国家电网公司</w:t>
      </w:r>
      <w:r>
        <w:rPr>
          <w:rFonts w:hint="eastAsia" w:ascii="仿宋_GB2312" w:hAnsi="宋体" w:eastAsia="仿宋_GB2312" w:cs="宋体"/>
          <w:bCs/>
          <w:color w:val="000000" w:themeColor="text1"/>
          <w:kern w:val="0"/>
          <w:sz w:val="32"/>
          <w:szCs w:val="32"/>
          <w:highlight w:val="none"/>
          <w14:textFill>
            <w14:solidFill>
              <w14:schemeClr w14:val="tx1"/>
            </w14:solidFill>
          </w14:textFill>
        </w:rPr>
        <w:t>人力资源招聘平台</w:t>
      </w:r>
      <w:r>
        <w:rPr>
          <w:rFonts w:hint="eastAsia" w:ascii="仿宋_GB2312" w:hAnsi="宋体" w:eastAsia="仿宋_GB2312" w:cs="宋体"/>
          <w:bCs/>
          <w:color w:val="000000" w:themeColor="text1"/>
          <w:kern w:val="0"/>
          <w:sz w:val="32"/>
          <w:szCs w:val="32"/>
          <w14:textFill>
            <w14:solidFill>
              <w14:schemeClr w14:val="tx1"/>
            </w14:solidFill>
          </w14:textFill>
        </w:rPr>
        <w:t>发布的</w:t>
      </w:r>
      <w:r>
        <w:rPr>
          <w:rFonts w:hint="eastAsia" w:ascii="仿宋_GB2312" w:hAnsi="仿宋_GB2312" w:eastAsia="仿宋_GB2312" w:cs="仿宋_GB2312"/>
          <w:sz w:val="32"/>
        </w:rPr>
        <w:t>相关信息</w:t>
      </w:r>
      <w:r>
        <w:rPr>
          <w:rFonts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bCs/>
          <w:color w:val="000000" w:themeColor="text1"/>
          <w:kern w:val="0"/>
          <w:sz w:val="32"/>
          <w:szCs w:val="32"/>
          <w14:textFill>
            <w14:solidFill>
              <w14:schemeClr w14:val="tx1"/>
            </w14:solidFill>
          </w14:textFill>
        </w:rPr>
      </w:pPr>
      <w:r>
        <w:rPr>
          <w:rFonts w:hint="eastAsia" w:ascii="仿宋_GB2312" w:hAnsi="宋体" w:eastAsia="仿宋_GB2312" w:cs="宋体"/>
          <w:bCs/>
          <w:color w:val="000000" w:themeColor="text1"/>
          <w:kern w:val="0"/>
          <w:sz w:val="32"/>
          <w:szCs w:val="32"/>
          <w14:textFill>
            <w14:solidFill>
              <w14:schemeClr w14:val="tx1"/>
            </w14:solidFill>
          </w14:textFill>
        </w:rPr>
        <w:t>附件</w:t>
      </w:r>
      <w:r>
        <w:rPr>
          <w:rFonts w:hint="eastAsia" w:ascii="仿宋_GB2312" w:hAnsi="宋体" w:eastAsia="仿宋_GB2312" w:cs="宋体"/>
          <w:bCs/>
          <w:color w:val="000000" w:themeColor="text1"/>
          <w:kern w:val="0"/>
          <w:sz w:val="32"/>
          <w:szCs w:val="32"/>
          <w:lang w:eastAsia="zh-CN"/>
          <w14:textFill>
            <w14:solidFill>
              <w14:schemeClr w14:val="tx1"/>
            </w14:solidFill>
          </w14:textFill>
        </w:rPr>
        <w:t>：</w:t>
      </w:r>
      <w:r>
        <w:rPr>
          <w:rFonts w:hint="eastAsia" w:ascii="仿宋_GB2312" w:hAnsi="宋体" w:eastAsia="仿宋_GB2312" w:cs="宋体"/>
          <w:bCs/>
          <w:color w:val="000000" w:themeColor="text1"/>
          <w:kern w:val="0"/>
          <w:sz w:val="32"/>
          <w:szCs w:val="32"/>
          <w14:textFill>
            <w14:solidFill>
              <w14:schemeClr w14:val="tx1"/>
            </w14:solidFill>
          </w14:textFill>
        </w:rPr>
        <w:t>1</w:t>
      </w:r>
      <w:r>
        <w:rPr>
          <w:rFonts w:hint="eastAsia" w:ascii="仿宋_GB2312" w:hAnsi="宋体" w:eastAsia="仿宋_GB2312" w:cs="宋体"/>
          <w:bCs/>
          <w:color w:val="000000" w:themeColor="text1"/>
          <w:kern w:val="0"/>
          <w:sz w:val="32"/>
          <w:szCs w:val="32"/>
          <w:lang w:val="en-US" w:eastAsia="zh-CN"/>
          <w14:textFill>
            <w14:solidFill>
              <w14:schemeClr w14:val="tx1"/>
            </w14:solidFill>
          </w14:textFill>
        </w:rPr>
        <w:t>.</w:t>
      </w:r>
      <w:r>
        <w:rPr>
          <w:rFonts w:hint="eastAsia" w:ascii="仿宋_GB2312" w:hAnsi="宋体" w:eastAsia="仿宋_GB2312" w:cs="宋体"/>
          <w:bCs/>
          <w:color w:val="000000" w:themeColor="text1"/>
          <w:kern w:val="0"/>
          <w:sz w:val="32"/>
          <w:szCs w:val="32"/>
          <w14:textFill>
            <w14:solidFill>
              <w14:schemeClr w14:val="tx1"/>
            </w14:solidFill>
          </w14:textFill>
        </w:rPr>
        <w:t>14天体温自我监测登记表</w:t>
      </w:r>
    </w:p>
    <w:p>
      <w:pPr>
        <w:pStyle w:val="2"/>
        <w:keepNext w:val="0"/>
        <w:keepLines w:val="0"/>
        <w:pageBreakBefore w:val="0"/>
        <w:numPr>
          <w:ilvl w:val="0"/>
          <w:numId w:val="0"/>
        </w:numPr>
        <w:kinsoku/>
        <w:wordWrap/>
        <w:overflowPunct/>
        <w:topLinePunct w:val="0"/>
        <w:autoSpaceDN/>
        <w:bidi w:val="0"/>
        <w:adjustRightInd w:val="0"/>
        <w:snapToGrid w:val="0"/>
        <w:spacing w:line="600" w:lineRule="exact"/>
        <w:ind w:firstLine="1600" w:firstLineChars="500"/>
        <w:rPr>
          <w:rFonts w:hint="eastAsia" w:ascii="仿宋_GB2312" w:hAnsi="宋体" w:eastAsia="仿宋_GB2312" w:cs="宋体"/>
          <w:bCs/>
          <w:color w:val="000000" w:themeColor="text1"/>
          <w:kern w:val="0"/>
          <w:sz w:val="32"/>
          <w:szCs w:val="32"/>
          <w14:textFill>
            <w14:solidFill>
              <w14:schemeClr w14:val="tx1"/>
            </w14:solidFill>
          </w14:textFill>
        </w:rPr>
      </w:pPr>
      <w:r>
        <w:rPr>
          <w:rFonts w:hint="eastAsia" w:ascii="仿宋_GB2312" w:hAnsi="宋体" w:eastAsia="仿宋_GB2312" w:cs="宋体"/>
          <w:bCs/>
          <w:color w:val="000000" w:themeColor="text1"/>
          <w:kern w:val="0"/>
          <w:sz w:val="32"/>
          <w:szCs w:val="32"/>
          <w:lang w:val="en-US" w:eastAsia="zh-CN"/>
          <w14:textFill>
            <w14:solidFill>
              <w14:schemeClr w14:val="tx1"/>
            </w14:solidFill>
          </w14:textFill>
        </w:rPr>
        <w:t>2.</w:t>
      </w:r>
      <w:r>
        <w:rPr>
          <w:rFonts w:hint="eastAsia" w:ascii="仿宋_GB2312" w:hAnsi="宋体" w:eastAsia="仿宋_GB2312" w:cs="宋体"/>
          <w:bCs/>
          <w:color w:val="000000" w:themeColor="text1"/>
          <w:kern w:val="0"/>
          <w:sz w:val="32"/>
          <w:szCs w:val="32"/>
          <w14:textFill>
            <w14:solidFill>
              <w14:schemeClr w14:val="tx1"/>
            </w14:solidFill>
          </w14:textFill>
        </w:rPr>
        <w:t>个人健康情况承诺书</w:t>
      </w:r>
    </w:p>
    <w:p>
      <w:pPr>
        <w:keepNext w:val="0"/>
        <w:keepLines w:val="0"/>
        <w:pageBreakBefore w:val="0"/>
        <w:widowControl w:val="0"/>
        <w:kinsoku/>
        <w:wordWrap/>
        <w:overflowPunct/>
        <w:topLinePunct w:val="0"/>
        <w:autoSpaceDE/>
        <w:autoSpaceDN/>
        <w:bidi w:val="0"/>
        <w:adjustRightInd w:val="0"/>
        <w:snapToGrid w:val="0"/>
        <w:spacing w:line="600" w:lineRule="exact"/>
        <w:ind w:firstLine="1600" w:firstLineChars="500"/>
        <w:textAlignment w:val="auto"/>
        <w:rPr>
          <w:rFonts w:ascii="宋体" w:hAnsi="宋体" w:eastAsia="宋体"/>
        </w:rPr>
      </w:pPr>
      <w:r>
        <w:rPr>
          <w:rFonts w:hint="eastAsia" w:ascii="仿宋_GB2312" w:hAnsi="宋体" w:eastAsia="仿宋_GB2312" w:cs="宋体"/>
          <w:bCs/>
          <w:color w:val="000000" w:themeColor="text1"/>
          <w:kern w:val="0"/>
          <w:sz w:val="32"/>
          <w:szCs w:val="32"/>
          <w14:textFill>
            <w14:solidFill>
              <w14:schemeClr w14:val="tx1"/>
            </w14:solidFill>
          </w14:textFill>
        </w:rPr>
        <w:t>3</w:t>
      </w:r>
      <w:r>
        <w:rPr>
          <w:rFonts w:hint="eastAsia" w:ascii="仿宋_GB2312" w:hAnsi="宋体" w:eastAsia="仿宋_GB2312" w:cs="宋体"/>
          <w:bCs/>
          <w:color w:val="000000" w:themeColor="text1"/>
          <w:kern w:val="0"/>
          <w:sz w:val="32"/>
          <w:szCs w:val="32"/>
          <w:lang w:val="en-US" w:eastAsia="zh-CN"/>
          <w14:textFill>
            <w14:solidFill>
              <w14:schemeClr w14:val="tx1"/>
            </w14:solidFill>
          </w14:textFill>
        </w:rPr>
        <w:t>.武汉市疫情防控政策措施</w:t>
      </w:r>
      <w:r>
        <w:rPr>
          <w:rFonts w:hint="eastAsia" w:ascii="仿宋_GB2312" w:hAnsi="宋体" w:eastAsia="仿宋_GB2312" w:cs="宋体"/>
          <w:bCs/>
          <w:color w:val="000000" w:themeColor="text1"/>
          <w:kern w:val="0"/>
          <w:sz w:val="32"/>
          <w:szCs w:val="32"/>
          <w14:textFill>
            <w14:solidFill>
              <w14:schemeClr w14:val="tx1"/>
            </w14:solidFill>
          </w14:textFill>
        </w:rPr>
        <w:t>查询方</w:t>
      </w:r>
      <w:r>
        <w:rPr>
          <w:rFonts w:hint="eastAsia" w:ascii="仿宋_GB2312" w:hAnsi="宋体" w:eastAsia="仿宋_GB2312" w:cs="宋体"/>
          <w:bCs/>
          <w:color w:val="000000" w:themeColor="text1"/>
          <w:kern w:val="0"/>
          <w:sz w:val="32"/>
          <w:szCs w:val="32"/>
          <w:lang w:val="en-US" w:eastAsia="zh-CN"/>
          <w14:textFill>
            <w14:solidFill>
              <w14:schemeClr w14:val="tx1"/>
            </w14:solidFill>
          </w14:textFill>
        </w:rPr>
        <w:t>法</w:t>
      </w:r>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center"/>
        <w:textAlignment w:val="auto"/>
        <w:rPr>
          <w:rFonts w:hint="eastAsia" w:ascii="仿宋_GB2312" w:hAnsi="宋体" w:eastAsia="仿宋_GB2312" w:cs="宋体"/>
          <w:bCs/>
          <w:color w:val="000000" w:themeColor="text1"/>
          <w:kern w:val="0"/>
          <w:sz w:val="32"/>
          <w:szCs w:val="32"/>
          <w14:textFill>
            <w14:solidFill>
              <w14:schemeClr w14:val="tx1"/>
            </w14:solidFill>
          </w14:textFill>
        </w:rPr>
      </w:pPr>
      <w:r>
        <w:rPr>
          <w:rFonts w:hint="eastAsia" w:ascii="仿宋_GB2312" w:hAnsi="宋体" w:eastAsia="仿宋_GB2312" w:cs="宋体"/>
          <w:bCs/>
          <w:color w:val="000000" w:themeColor="text1"/>
          <w:kern w:val="0"/>
          <w:sz w:val="32"/>
          <w:szCs w:val="32"/>
          <w14:textFill>
            <w14:solidFill>
              <w14:schemeClr w14:val="tx1"/>
            </w14:solidFill>
          </w14:textFill>
        </w:rPr>
        <w:br w:type="page"/>
      </w:r>
    </w:p>
    <w:p>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附1</w:t>
      </w:r>
    </w:p>
    <w:tbl>
      <w:tblPr>
        <w:tblStyle w:val="3"/>
        <w:tblW w:w="8522" w:type="dxa"/>
        <w:tblInd w:w="0" w:type="dxa"/>
        <w:tblLayout w:type="fixed"/>
        <w:tblCellMar>
          <w:top w:w="0" w:type="dxa"/>
          <w:left w:w="108" w:type="dxa"/>
          <w:bottom w:w="0" w:type="dxa"/>
          <w:right w:w="108" w:type="dxa"/>
        </w:tblCellMar>
      </w:tblPr>
      <w:tblGrid>
        <w:gridCol w:w="1785"/>
        <w:gridCol w:w="2287"/>
        <w:gridCol w:w="2183"/>
        <w:gridCol w:w="2267"/>
      </w:tblGrid>
      <w:tr>
        <w:tblPrEx>
          <w:tblLayout w:type="fixed"/>
          <w:tblCellMar>
            <w:top w:w="0" w:type="dxa"/>
            <w:left w:w="108" w:type="dxa"/>
            <w:bottom w:w="0" w:type="dxa"/>
            <w:right w:w="108" w:type="dxa"/>
          </w:tblCellMar>
        </w:tblPrEx>
        <w:trPr>
          <w:trHeight w:val="288" w:hRule="atLeast"/>
        </w:trPr>
        <w:tc>
          <w:tcPr>
            <w:tcW w:w="8522" w:type="dxa"/>
            <w:gridSpan w:val="4"/>
            <w:tcBorders>
              <w:top w:val="nil"/>
              <w:left w:val="nil"/>
              <w:bottom w:val="nil"/>
              <w:right w:val="nil"/>
            </w:tcBorders>
            <w:shd w:val="clear" w:color="auto" w:fill="auto"/>
            <w:vAlign w:val="center"/>
          </w:tcPr>
          <w:p>
            <w:pPr>
              <w:widowControl/>
              <w:spacing w:line="360" w:lineRule="auto"/>
              <w:jc w:val="center"/>
              <w:textAlignment w:val="center"/>
              <w:rPr>
                <w:rFonts w:hint="eastAsia" w:ascii="方正小标宋_GBK" w:hAnsi="方正小标宋_GBK" w:eastAsia="方正小标宋_GBK" w:cs="方正小标宋_GBK"/>
                <w:b/>
                <w:bCs/>
                <w:color w:val="000000"/>
                <w:kern w:val="0"/>
                <w:sz w:val="36"/>
                <w:szCs w:val="36"/>
                <w:lang w:bidi="ar"/>
              </w:rPr>
            </w:pPr>
            <w:r>
              <w:rPr>
                <w:rFonts w:hint="eastAsia" w:ascii="方正小标宋简体" w:hAnsi="方正小标宋简体" w:eastAsia="方正小标宋简体" w:cs="方正小标宋简体"/>
                <w:b/>
                <w:bCs/>
                <w:color w:val="000000"/>
                <w:kern w:val="0"/>
                <w:sz w:val="36"/>
                <w:szCs w:val="36"/>
                <w:lang w:bidi="ar"/>
              </w:rPr>
              <w:t>14天体温自我监测登记表</w:t>
            </w:r>
          </w:p>
          <w:p>
            <w:pPr>
              <w:rPr>
                <w:lang w:bidi="ar"/>
              </w:rPr>
            </w:pPr>
          </w:p>
        </w:tc>
      </w:tr>
      <w:tr>
        <w:tblPrEx>
          <w:tblLayout w:type="fixed"/>
          <w:tblCellMar>
            <w:top w:w="0" w:type="dxa"/>
            <w:left w:w="108" w:type="dxa"/>
            <w:bottom w:w="0" w:type="dxa"/>
            <w:right w:w="108" w:type="dxa"/>
          </w:tblCellMar>
        </w:tblPrEx>
        <w:trPr>
          <w:trHeight w:val="6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hint="eastAsia" w:ascii="黑体" w:hAnsi="黑体" w:eastAsia="黑体" w:cs="黑体"/>
                <w:color w:val="000000"/>
                <w:sz w:val="32"/>
                <w:szCs w:val="32"/>
              </w:rPr>
            </w:pPr>
            <w:r>
              <w:rPr>
                <w:rFonts w:hint="eastAsia" w:ascii="黑体" w:hAnsi="黑体" w:eastAsia="黑体" w:cs="黑体"/>
                <w:color w:val="000000"/>
                <w:kern w:val="0"/>
                <w:sz w:val="32"/>
                <w:szCs w:val="32"/>
                <w:lang w:bidi="ar"/>
              </w:rPr>
              <w:t>序号</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hint="eastAsia" w:ascii="黑体" w:hAnsi="黑体" w:eastAsia="黑体" w:cs="黑体"/>
                <w:color w:val="000000"/>
                <w:sz w:val="32"/>
                <w:szCs w:val="32"/>
              </w:rPr>
            </w:pPr>
            <w:r>
              <w:rPr>
                <w:rFonts w:hint="eastAsia" w:ascii="黑体" w:hAnsi="黑体" w:eastAsia="黑体" w:cs="黑体"/>
                <w:color w:val="000000"/>
                <w:kern w:val="0"/>
                <w:sz w:val="32"/>
                <w:szCs w:val="32"/>
                <w:lang w:bidi="ar"/>
              </w:rPr>
              <w:t>日期</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hint="eastAsia" w:ascii="黑体" w:hAnsi="黑体" w:eastAsia="黑体" w:cs="黑体"/>
                <w:color w:val="000000"/>
                <w:sz w:val="32"/>
                <w:szCs w:val="32"/>
              </w:rPr>
            </w:pPr>
            <w:r>
              <w:rPr>
                <w:rFonts w:hint="eastAsia" w:ascii="黑体" w:hAnsi="黑体" w:eastAsia="黑体" w:cs="黑体"/>
                <w:color w:val="000000"/>
                <w:kern w:val="0"/>
                <w:sz w:val="32"/>
                <w:szCs w:val="32"/>
                <w:lang w:bidi="ar"/>
              </w:rPr>
              <w:t>当日体温</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hint="eastAsia" w:ascii="黑体" w:hAnsi="黑体" w:eastAsia="黑体" w:cs="黑体"/>
                <w:color w:val="000000"/>
                <w:sz w:val="32"/>
                <w:szCs w:val="32"/>
              </w:rPr>
            </w:pPr>
            <w:r>
              <w:rPr>
                <w:rFonts w:hint="eastAsia" w:ascii="黑体" w:hAnsi="黑体" w:eastAsia="黑体" w:cs="黑体"/>
                <w:color w:val="000000"/>
                <w:kern w:val="0"/>
                <w:sz w:val="32"/>
                <w:szCs w:val="32"/>
                <w:lang w:bidi="ar"/>
              </w:rPr>
              <w:t>异常状况备注</w:t>
            </w: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考前14天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考前13天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考前12天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考前11天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考前10天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考前9天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考前8天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考前7天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考前6天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考前5天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考前4天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考前3天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考前2天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r>
        <w:tblPrEx>
          <w:tblLayout w:type="fixed"/>
          <w:tblCellMar>
            <w:top w:w="0" w:type="dxa"/>
            <w:left w:w="108" w:type="dxa"/>
            <w:bottom w:w="0" w:type="dxa"/>
            <w:right w:w="108" w:type="dxa"/>
          </w:tblCellMar>
        </w:tblPrEx>
        <w:trPr>
          <w:trHeight w:val="288"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考前1天</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640" w:firstLineChars="200"/>
              <w:rPr>
                <w:rFonts w:hint="eastAsia" w:ascii="仿宋_GB2312" w:hAnsi="仿宋_GB2312" w:eastAsia="仿宋_GB2312" w:cs="仿宋_GB2312"/>
                <w:color w:val="000000"/>
                <w:sz w:val="32"/>
                <w:szCs w:val="32"/>
              </w:rPr>
            </w:pPr>
          </w:p>
        </w:tc>
      </w:tr>
    </w:tbl>
    <w:p>
      <w:pPr>
        <w:ind w:firstLine="1920" w:firstLineChars="800"/>
        <w:rPr>
          <w:rFonts w:ascii="宋体" w:hAnsi="宋体"/>
          <w:sz w:val="24"/>
          <w:szCs w:val="24"/>
        </w:rPr>
      </w:pPr>
    </w:p>
    <w:p>
      <w:pPr>
        <w:ind w:firstLine="2560" w:firstLineChars="8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姓</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u w:val="single"/>
        </w:rPr>
        <w:t xml:space="preserve">                         </w:t>
      </w:r>
    </w:p>
    <w:p>
      <w:pPr>
        <w:pStyle w:val="2"/>
        <w:ind w:left="0" w:leftChars="0" w:firstLine="2560" w:firstLineChars="8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 xml:space="preserve">                         </w:t>
      </w:r>
    </w:p>
    <w:p>
      <w:pPr>
        <w:ind w:firstLine="2560" w:firstLineChars="8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电话号码：</w:t>
      </w:r>
      <w:r>
        <w:rPr>
          <w:rFonts w:hint="eastAsia" w:ascii="仿宋_GB2312" w:hAnsi="仿宋_GB2312" w:eastAsia="仿宋_GB2312" w:cs="仿宋_GB2312"/>
          <w:sz w:val="32"/>
          <w:szCs w:val="32"/>
          <w:u w:val="single"/>
        </w:rPr>
        <w:t xml:space="preserve">                         </w:t>
      </w:r>
    </w:p>
    <w:p>
      <w:pPr>
        <w:pStyle w:val="2"/>
        <w:spacing w:line="360" w:lineRule="auto"/>
        <w:ind w:left="0" w:left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注：请自行下载打印并提前填写。</w:t>
      </w:r>
    </w:p>
    <w:p>
      <w:pPr>
        <w:spacing w:line="360" w:lineRule="auto"/>
        <w:ind w:firstLine="640" w:firstLineChars="200"/>
        <w:rPr>
          <w:rFonts w:hint="eastAsia" w:ascii="仿宋_GB2312" w:hAnsi="仿宋_GB2312" w:eastAsia="仿宋_GB2312" w:cs="仿宋_GB2312"/>
          <w:sz w:val="32"/>
          <w:szCs w:val="32"/>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eastAsia="仿宋_GB2312" w:cs="FZXBSJW--GB1-0" w:asciiTheme="minorEastAsia" w:hAnsiTheme="minorEastAsia"/>
          <w:b/>
          <w:kern w:val="0"/>
          <w:sz w:val="44"/>
          <w:szCs w:val="44"/>
          <w:lang w:eastAsia="zh-CN"/>
        </w:rPr>
      </w:pPr>
      <w:r>
        <w:rPr>
          <w:rFonts w:hint="eastAsia" w:ascii="仿宋_GB2312" w:hAnsi="仿宋_GB2312" w:eastAsia="仿宋_GB2312" w:cs="仿宋_GB2312"/>
          <w:sz w:val="32"/>
        </w:rPr>
        <w:t>附</w:t>
      </w:r>
      <w:r>
        <w:rPr>
          <w:rFonts w:hint="eastAsia" w:ascii="仿宋_GB2312" w:hAnsi="仿宋_GB2312" w:eastAsia="仿宋_GB2312" w:cs="仿宋_GB2312"/>
          <w:sz w:val="32"/>
          <w:lang w:val="en-US" w:eastAsia="zh-CN"/>
        </w:rPr>
        <w:t>2</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b/>
          <w:kern w:val="0"/>
          <w:sz w:val="36"/>
          <w:szCs w:val="36"/>
        </w:rPr>
      </w:pPr>
      <w:r>
        <w:rPr>
          <w:rFonts w:hint="eastAsia" w:ascii="方正小标宋_GBK" w:hAnsi="方正小标宋_GBK" w:eastAsia="方正小标宋_GBK" w:cs="方正小标宋_GBK"/>
          <w:b/>
          <w:kern w:val="0"/>
          <w:sz w:val="36"/>
          <w:szCs w:val="36"/>
        </w:rPr>
        <w:t>个人健康情况承诺书</w:t>
      </w:r>
    </w:p>
    <w:tbl>
      <w:tblPr>
        <w:tblStyle w:val="4"/>
        <w:tblW w:w="94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418"/>
        <w:gridCol w:w="1134"/>
        <w:gridCol w:w="2563"/>
        <w:gridCol w:w="993"/>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49" w:type="dxa"/>
            <w:vAlign w:val="center"/>
          </w:tcPr>
          <w:p>
            <w:pPr>
              <w:spacing w:line="400" w:lineRule="exact"/>
              <w:jc w:val="center"/>
              <w:rPr>
                <w:rFonts w:asciiTheme="minorEastAsia" w:hAnsiTheme="minorEastAsia"/>
                <w:b/>
                <w:bCs/>
                <w:sz w:val="28"/>
                <w:szCs w:val="28"/>
              </w:rPr>
            </w:pPr>
            <w:r>
              <w:rPr>
                <w:rFonts w:hint="eastAsia" w:cs="仿宋" w:asciiTheme="minorEastAsia" w:hAnsiTheme="minorEastAsia"/>
                <w:b/>
                <w:bCs/>
                <w:kern w:val="0"/>
                <w:sz w:val="28"/>
                <w:szCs w:val="28"/>
              </w:rPr>
              <w:t>姓名</w:t>
            </w:r>
          </w:p>
        </w:tc>
        <w:tc>
          <w:tcPr>
            <w:tcW w:w="1418" w:type="dxa"/>
            <w:vAlign w:val="center"/>
          </w:tcPr>
          <w:p>
            <w:pPr>
              <w:spacing w:line="400" w:lineRule="exact"/>
              <w:jc w:val="center"/>
              <w:rPr>
                <w:rFonts w:asciiTheme="minorEastAsia" w:hAnsiTheme="minorEastAsia"/>
                <w:b/>
                <w:bCs/>
                <w:sz w:val="28"/>
                <w:szCs w:val="28"/>
              </w:rPr>
            </w:pPr>
          </w:p>
        </w:tc>
        <w:tc>
          <w:tcPr>
            <w:tcW w:w="1134" w:type="dxa"/>
            <w:vAlign w:val="center"/>
          </w:tcPr>
          <w:p>
            <w:pPr>
              <w:spacing w:line="400" w:lineRule="exact"/>
              <w:jc w:val="center"/>
              <w:rPr>
                <w:rFonts w:hint="eastAsia" w:asciiTheme="minorEastAsia" w:hAnsiTheme="minorEastAsia"/>
                <w:b/>
                <w:bCs/>
                <w:sz w:val="28"/>
                <w:szCs w:val="28"/>
              </w:rPr>
            </w:pPr>
            <w:r>
              <w:rPr>
                <w:rFonts w:hint="eastAsia" w:asciiTheme="minorEastAsia" w:hAnsiTheme="minorEastAsia"/>
                <w:b/>
                <w:bCs/>
                <w:sz w:val="28"/>
                <w:szCs w:val="28"/>
              </w:rPr>
              <w:t>身份</w:t>
            </w:r>
          </w:p>
          <w:p>
            <w:pPr>
              <w:spacing w:line="400" w:lineRule="exact"/>
              <w:jc w:val="center"/>
              <w:rPr>
                <w:rFonts w:asciiTheme="minorEastAsia" w:hAnsiTheme="minorEastAsia"/>
                <w:b/>
                <w:bCs/>
                <w:sz w:val="28"/>
                <w:szCs w:val="28"/>
              </w:rPr>
            </w:pPr>
            <w:r>
              <w:rPr>
                <w:rFonts w:hint="eastAsia" w:asciiTheme="minorEastAsia" w:hAnsiTheme="minorEastAsia"/>
                <w:b/>
                <w:bCs/>
                <w:sz w:val="28"/>
                <w:szCs w:val="28"/>
              </w:rPr>
              <w:t>证号</w:t>
            </w:r>
          </w:p>
        </w:tc>
        <w:tc>
          <w:tcPr>
            <w:tcW w:w="2563" w:type="dxa"/>
            <w:vAlign w:val="center"/>
          </w:tcPr>
          <w:p>
            <w:pPr>
              <w:spacing w:line="400" w:lineRule="exact"/>
              <w:jc w:val="center"/>
              <w:rPr>
                <w:rFonts w:asciiTheme="minorEastAsia" w:hAnsiTheme="minorEastAsia"/>
                <w:b/>
                <w:bCs/>
                <w:sz w:val="28"/>
                <w:szCs w:val="28"/>
              </w:rPr>
            </w:pPr>
          </w:p>
        </w:tc>
        <w:tc>
          <w:tcPr>
            <w:tcW w:w="993" w:type="dxa"/>
            <w:vAlign w:val="center"/>
          </w:tcPr>
          <w:p>
            <w:pPr>
              <w:spacing w:line="400" w:lineRule="exact"/>
              <w:jc w:val="center"/>
              <w:rPr>
                <w:rFonts w:asciiTheme="minorEastAsia" w:hAnsiTheme="minorEastAsia"/>
                <w:b/>
                <w:bCs/>
                <w:sz w:val="28"/>
                <w:szCs w:val="28"/>
              </w:rPr>
            </w:pPr>
            <w:r>
              <w:rPr>
                <w:rFonts w:hint="eastAsia" w:asciiTheme="minorEastAsia" w:hAnsiTheme="minorEastAsia"/>
                <w:b/>
                <w:bCs/>
                <w:sz w:val="28"/>
                <w:szCs w:val="28"/>
              </w:rPr>
              <w:t>联系电话</w:t>
            </w:r>
          </w:p>
        </w:tc>
        <w:tc>
          <w:tcPr>
            <w:tcW w:w="2310" w:type="dxa"/>
            <w:vAlign w:val="center"/>
          </w:tcPr>
          <w:p>
            <w:pPr>
              <w:spacing w:line="400" w:lineRule="exact"/>
              <w:jc w:val="center"/>
              <w:rPr>
                <w:rFonts w:asciiTheme="minorEastAsia" w:hAnsiTheme="minorEastAsia"/>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55" w:hRule="atLeast"/>
          <w:jc w:val="center"/>
        </w:trPr>
        <w:tc>
          <w:tcPr>
            <w:tcW w:w="9467" w:type="dxa"/>
            <w:gridSpan w:val="6"/>
          </w:tcPr>
          <w:p>
            <w:pPr>
              <w:keepNext w:val="0"/>
              <w:keepLines w:val="0"/>
              <w:pageBreakBefore w:val="0"/>
              <w:widowControl w:val="0"/>
              <w:kinsoku/>
              <w:wordWrap/>
              <w:overflowPunct/>
              <w:topLinePunct w:val="0"/>
              <w:autoSpaceDE w:val="0"/>
              <w:autoSpaceDN w:val="0"/>
              <w:bidi w:val="0"/>
              <w:adjustRightInd w:val="0"/>
              <w:snapToGrid w:val="0"/>
              <w:spacing w:line="60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本人郑重承诺以下事项：</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0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kern w:val="0"/>
                <w:sz w:val="28"/>
                <w:szCs w:val="28"/>
              </w:rPr>
              <w:t>本人</w:t>
            </w:r>
            <w:r>
              <w:rPr>
                <w:rFonts w:hint="eastAsia" w:ascii="仿宋_GB2312" w:hAnsi="仿宋_GB2312" w:eastAsia="仿宋_GB2312" w:cs="仿宋_GB2312"/>
                <w:color w:val="000000"/>
                <w:sz w:val="28"/>
                <w:szCs w:val="28"/>
                <w:lang w:eastAsia="zh-CN"/>
              </w:rPr>
              <w:t>按照考点所在地疫情防控要求，完成考前</w:t>
            </w:r>
            <w:r>
              <w:rPr>
                <w:rFonts w:hint="eastAsia" w:ascii="仿宋_GB2312" w:hAnsi="仿宋_GB2312" w:eastAsia="仿宋_GB2312" w:cs="仿宋_GB2312"/>
                <w:color w:val="000000"/>
                <w:sz w:val="28"/>
                <w:szCs w:val="28"/>
                <w:lang w:val="en-US" w:eastAsia="zh-CN"/>
              </w:rPr>
              <w:t>14天健康监测，</w:t>
            </w:r>
            <w:r>
              <w:rPr>
                <w:rFonts w:hint="eastAsia" w:ascii="仿宋_GB2312" w:hAnsi="仿宋_GB2312" w:eastAsia="仿宋_GB2312" w:cs="仿宋_GB2312"/>
                <w:kern w:val="0"/>
                <w:sz w:val="28"/>
                <w:szCs w:val="28"/>
              </w:rPr>
              <w:t>体温正常，没有出现过发热（体温≥37.3℃）、干咳、乏力、咽痛、嗅（味）觉减退、腹泻等症状；</w:t>
            </w:r>
          </w:p>
          <w:p>
            <w:pPr>
              <w:autoSpaceDE w:val="0"/>
              <w:autoSpaceDN w:val="0"/>
              <w:adjustRightInd w:val="0"/>
              <w:snapToGrid w:val="0"/>
              <w:spacing w:line="60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进入考点前28天内无国（境）外旅居史；进入考点前28天内无国内疫情中高风险地区旅居史；进入考点前28天内未与新冠肺炎确诊病例、疑似病例、无症状感染者及上述3类人员的密接或次密接存在密切接触史；进入考点前14天内无国内疫情中高风险地区所在县（区、市）或出现阳性感染者的县（区、市）旅居史，同时符合武汉市防疫管控的相关要求，不属于应管控的来汉返汉人员；</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3.充分理解并遵守考试期间考点各项防疫安全要求；</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4.考试</w:t>
            </w:r>
            <w:r>
              <w:rPr>
                <w:rFonts w:hint="eastAsia" w:ascii="仿宋_GB2312" w:hAnsi="仿宋_GB2312" w:eastAsia="仿宋_GB2312" w:cs="仿宋_GB2312"/>
                <w:kern w:val="0"/>
                <w:sz w:val="28"/>
                <w:szCs w:val="28"/>
                <w:lang w:eastAsia="zh-CN"/>
              </w:rPr>
              <w:t>期间</w:t>
            </w:r>
            <w:r>
              <w:rPr>
                <w:rFonts w:hint="eastAsia" w:ascii="仿宋_GB2312" w:hAnsi="仿宋_GB2312" w:eastAsia="仿宋_GB2312" w:cs="仿宋_GB2312"/>
                <w:kern w:val="0"/>
                <w:sz w:val="28"/>
                <w:szCs w:val="28"/>
              </w:rPr>
              <w:t>自行做好防护工作，提前抵达考点；</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560" w:firstLineChars="200"/>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rPr>
              <w:t>5.考试过程中如出现咳嗽、发热等身体不适情况，本人自愿放弃考</w:t>
            </w:r>
            <w:r>
              <w:rPr>
                <w:rFonts w:hint="eastAsia" w:ascii="仿宋_GB2312" w:hAnsi="仿宋_GB2312" w:eastAsia="仿宋_GB2312" w:cs="仿宋_GB2312"/>
                <w:kern w:val="0"/>
                <w:sz w:val="28"/>
                <w:szCs w:val="28"/>
                <w:highlight w:val="none"/>
              </w:rPr>
              <w:t>试，并遵守考试工作人员安排离场；</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highlight w:val="none"/>
              </w:rPr>
              <w:t>6.</w:t>
            </w:r>
            <w:r>
              <w:rPr>
                <w:rFonts w:hint="eastAsia" w:ascii="仿宋_GB2312" w:hAnsi="仿宋_GB2312" w:eastAsia="仿宋_GB2312" w:cs="仿宋_GB2312"/>
                <w:kern w:val="0"/>
                <w:sz w:val="28"/>
                <w:szCs w:val="28"/>
                <w:highlight w:val="none"/>
                <w:lang w:val="en-US" w:eastAsia="zh-CN"/>
              </w:rPr>
              <w:t>我已全面知悉《国家电网有限公司2022年高校毕业生招聘考试公告》各项告知事项、证明义务、疫情防控要求，填报、提交、现场出具的所有信息（证明）均真实、准确、完整、有效。</w:t>
            </w:r>
            <w:r>
              <w:rPr>
                <w:rFonts w:hint="eastAsia" w:ascii="仿宋_GB2312" w:hAnsi="仿宋_GB2312" w:eastAsia="仿宋_GB2312" w:cs="仿宋_GB2312"/>
                <w:kern w:val="0"/>
                <w:sz w:val="28"/>
                <w:szCs w:val="28"/>
                <w:highlight w:val="none"/>
              </w:rPr>
              <w:t>如因个人主观原因漏报、瞒报、虚报造成相关后果，本人承担由此带来的全部法律责任。</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1400" w:firstLineChars="500"/>
              <w:textAlignment w:val="auto"/>
              <w:rPr>
                <w:rFonts w:asciiTheme="minorEastAsia" w:hAnsiTheme="minorEastAsia"/>
                <w:b/>
                <w:sz w:val="44"/>
                <w:szCs w:val="44"/>
              </w:rPr>
            </w:pPr>
            <w:r>
              <w:rPr>
                <w:rFonts w:hint="eastAsia" w:ascii="仿宋_GB2312" w:hAnsi="仿宋_GB2312" w:eastAsia="仿宋_GB2312" w:cs="仿宋_GB2312"/>
                <w:kern w:val="0"/>
                <w:sz w:val="28"/>
                <w:szCs w:val="28"/>
              </w:rPr>
              <w:t>考生签字：                    日期：</w:t>
            </w:r>
          </w:p>
        </w:tc>
      </w:tr>
    </w:tbl>
    <w:p>
      <w:pPr>
        <w:adjustRightInd w:val="0"/>
        <w:snapToGrid w:val="0"/>
        <w:spacing w:line="60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附3</w:t>
      </w:r>
    </w:p>
    <w:p>
      <w:pPr>
        <w:pStyle w:val="2"/>
      </w:pPr>
    </w:p>
    <w:p>
      <w:pPr>
        <w:widowControl/>
        <w:spacing w:line="360" w:lineRule="auto"/>
        <w:jc w:val="center"/>
        <w:textAlignment w:val="center"/>
        <w:rPr>
          <w:rFonts w:hint="eastAsia" w:ascii="方正小标宋_GBK" w:hAnsi="方正小标宋_GBK" w:eastAsia="方正小标宋_GBK" w:cs="方正小标宋_GBK"/>
          <w:b/>
          <w:bCs/>
          <w:color w:val="000000"/>
          <w:kern w:val="0"/>
          <w:sz w:val="36"/>
          <w:szCs w:val="36"/>
          <w:lang w:eastAsia="zh-CN" w:bidi="ar"/>
        </w:rPr>
      </w:pPr>
      <w:r>
        <w:rPr>
          <w:rFonts w:hint="eastAsia" w:ascii="方正小标宋_GBK" w:hAnsi="方正小标宋_GBK" w:eastAsia="方正小标宋_GBK" w:cs="方正小标宋_GBK"/>
          <w:b/>
          <w:bCs/>
          <w:color w:val="000000"/>
          <w:kern w:val="0"/>
          <w:sz w:val="36"/>
          <w:szCs w:val="36"/>
          <w:lang w:bidi="ar"/>
        </w:rPr>
        <w:t>武汉市</w:t>
      </w:r>
      <w:r>
        <w:rPr>
          <w:rFonts w:hint="eastAsia" w:ascii="方正小标宋_GBK" w:hAnsi="方正小标宋_GBK" w:eastAsia="方正小标宋_GBK" w:cs="方正小标宋_GBK"/>
          <w:b/>
          <w:bCs/>
          <w:color w:val="000000"/>
          <w:kern w:val="0"/>
          <w:sz w:val="36"/>
          <w:szCs w:val="36"/>
          <w:lang w:val="en-US" w:eastAsia="zh-CN" w:bidi="ar"/>
        </w:rPr>
        <w:t>疫情防控</w:t>
      </w:r>
      <w:r>
        <w:rPr>
          <w:rFonts w:hint="eastAsia" w:ascii="方正小标宋_GBK" w:hAnsi="方正小标宋_GBK" w:eastAsia="方正小标宋_GBK" w:cs="方正小标宋_GBK"/>
          <w:b/>
          <w:bCs/>
          <w:color w:val="000000"/>
          <w:kern w:val="0"/>
          <w:sz w:val="36"/>
          <w:szCs w:val="36"/>
          <w:lang w:bidi="ar"/>
        </w:rPr>
        <w:t>政策</w:t>
      </w:r>
      <w:r>
        <w:rPr>
          <w:rFonts w:hint="eastAsia" w:ascii="方正小标宋_GBK" w:hAnsi="方正小标宋_GBK" w:eastAsia="方正小标宋_GBK" w:cs="方正小标宋_GBK"/>
          <w:b/>
          <w:bCs/>
          <w:color w:val="000000"/>
          <w:kern w:val="0"/>
          <w:sz w:val="36"/>
          <w:szCs w:val="36"/>
          <w:lang w:val="en-US" w:eastAsia="zh-CN" w:bidi="ar"/>
        </w:rPr>
        <w:t>措施</w:t>
      </w:r>
      <w:r>
        <w:rPr>
          <w:rFonts w:hint="eastAsia" w:ascii="方正小标宋_GBK" w:hAnsi="方正小标宋_GBK" w:eastAsia="方正小标宋_GBK" w:cs="方正小标宋_GBK"/>
          <w:b/>
          <w:bCs/>
          <w:color w:val="000000"/>
          <w:kern w:val="0"/>
          <w:sz w:val="36"/>
          <w:szCs w:val="36"/>
          <w:lang w:bidi="ar"/>
        </w:rPr>
        <w:t>查询</w:t>
      </w:r>
      <w:r>
        <w:rPr>
          <w:rFonts w:hint="eastAsia" w:ascii="方正小标宋_GBK" w:hAnsi="方正小标宋_GBK" w:eastAsia="方正小标宋_GBK" w:cs="方正小标宋_GBK"/>
          <w:b/>
          <w:bCs/>
          <w:color w:val="000000"/>
          <w:kern w:val="0"/>
          <w:sz w:val="36"/>
          <w:szCs w:val="36"/>
          <w:lang w:val="en-US" w:eastAsia="zh-CN" w:bidi="ar"/>
        </w:rPr>
        <w:t>方法</w:t>
      </w:r>
    </w:p>
    <w:p>
      <w:pPr>
        <w:pStyle w:val="2"/>
        <w:ind w:left="0" w:leftChars="0" w:firstLine="640" w:firstLineChars="200"/>
        <w:rPr>
          <w:rFonts w:ascii="宋体" w:hAnsi="宋体" w:eastAsia="宋体"/>
          <w:sz w:val="32"/>
          <w:szCs w:val="32"/>
        </w:rPr>
      </w:pPr>
    </w:p>
    <w:p>
      <w:pPr>
        <w:spacing w:line="360" w:lineRule="auto"/>
        <w:ind w:firstLine="420" w:firstLineChars="200"/>
        <w:rPr>
          <w:rFonts w:ascii="宋体" w:hAnsi="宋体"/>
        </w:rPr>
      </w:pPr>
      <w:r>
        <w:rPr>
          <w:rFonts w:ascii="宋体" w:hAnsi="宋体"/>
        </w:rPr>
        <w:drawing>
          <wp:anchor distT="0" distB="0" distL="114300" distR="114300" simplePos="0" relativeHeight="251662336" behindDoc="1" locked="0" layoutInCell="1" allowOverlap="1">
            <wp:simplePos x="0" y="0"/>
            <wp:positionH relativeFrom="column">
              <wp:posOffset>2876550</wp:posOffset>
            </wp:positionH>
            <wp:positionV relativeFrom="paragraph">
              <wp:posOffset>53975</wp:posOffset>
            </wp:positionV>
            <wp:extent cx="1912620" cy="3599815"/>
            <wp:effectExtent l="0" t="0" r="5080" b="6985"/>
            <wp:wrapThrough wrapText="bothSides">
              <wp:wrapPolygon>
                <wp:start x="0" y="0"/>
                <wp:lineTo x="0" y="21490"/>
                <wp:lineTo x="21514" y="21490"/>
                <wp:lineTo x="21514" y="0"/>
                <wp:lineTo x="0" y="0"/>
              </wp:wrapPolygon>
            </wp:wrapThrough>
            <wp:docPr id="7" name="图片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
                    <pic:cNvPicPr>
                      <a:picLocks noChangeAspect="1"/>
                    </pic:cNvPicPr>
                  </pic:nvPicPr>
                  <pic:blipFill>
                    <a:blip r:embed="rId4"/>
                    <a:srcRect b="8757"/>
                    <a:stretch>
                      <a:fillRect/>
                    </a:stretch>
                  </pic:blipFill>
                  <pic:spPr>
                    <a:xfrm>
                      <a:off x="0" y="0"/>
                      <a:ext cx="1912922" cy="3600000"/>
                    </a:xfrm>
                    <a:prstGeom prst="rect">
                      <a:avLst/>
                    </a:prstGeom>
                    <a:ln>
                      <a:noFill/>
                    </a:ln>
                  </pic:spPr>
                </pic:pic>
              </a:graphicData>
            </a:graphic>
          </wp:anchor>
        </w:drawing>
      </w:r>
      <w:r>
        <w:rPr>
          <w:rFonts w:ascii="宋体" w:hAnsi="宋体"/>
        </w:rPr>
        <w:drawing>
          <wp:anchor distT="0" distB="0" distL="114300" distR="114300" simplePos="0" relativeHeight="251659264" behindDoc="1" locked="0" layoutInCell="1" allowOverlap="1">
            <wp:simplePos x="0" y="0"/>
            <wp:positionH relativeFrom="column">
              <wp:posOffset>481965</wp:posOffset>
            </wp:positionH>
            <wp:positionV relativeFrom="paragraph">
              <wp:posOffset>45720</wp:posOffset>
            </wp:positionV>
            <wp:extent cx="1744345" cy="3599815"/>
            <wp:effectExtent l="0" t="0" r="8255" b="6985"/>
            <wp:wrapThrough wrapText="bothSides">
              <wp:wrapPolygon>
                <wp:start x="0" y="0"/>
                <wp:lineTo x="0" y="21490"/>
                <wp:lineTo x="21388" y="21490"/>
                <wp:lineTo x="21388" y="0"/>
                <wp:lineTo x="0" y="0"/>
              </wp:wrapPolygon>
            </wp:wrapThrough>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5"/>
                    <a:stretch>
                      <a:fillRect/>
                    </a:stretch>
                  </pic:blipFill>
                  <pic:spPr>
                    <a:xfrm>
                      <a:off x="0" y="0"/>
                      <a:ext cx="1744179" cy="3600000"/>
                    </a:xfrm>
                    <a:prstGeom prst="rect">
                      <a:avLst/>
                    </a:prstGeom>
                  </pic:spPr>
                </pic:pic>
              </a:graphicData>
            </a:graphic>
          </wp:anchor>
        </w:drawing>
      </w:r>
    </w:p>
    <w:p>
      <w:pPr>
        <w:pStyle w:val="2"/>
        <w:spacing w:line="360" w:lineRule="auto"/>
        <w:ind w:left="0" w:leftChars="0" w:firstLine="420" w:firstLineChars="200"/>
        <w:rPr>
          <w:rFonts w:ascii="宋体" w:hAnsi="宋体" w:eastAsia="宋体"/>
        </w:rPr>
      </w:pPr>
    </w:p>
    <w:p>
      <w:pPr>
        <w:spacing w:line="360" w:lineRule="auto"/>
        <w:ind w:firstLine="420" w:firstLineChars="200"/>
        <w:rPr>
          <w:rFonts w:ascii="宋体" w:hAnsi="宋体"/>
        </w:rPr>
      </w:pPr>
    </w:p>
    <w:p>
      <w:pPr>
        <w:pStyle w:val="2"/>
        <w:spacing w:line="360" w:lineRule="auto"/>
        <w:ind w:left="0" w:leftChars="0" w:firstLine="420" w:firstLineChars="200"/>
        <w:rPr>
          <w:rFonts w:ascii="宋体" w:hAnsi="宋体" w:eastAsia="宋体"/>
        </w:rPr>
      </w:pPr>
    </w:p>
    <w:p>
      <w:pPr>
        <w:spacing w:line="360" w:lineRule="auto"/>
        <w:ind w:firstLine="420" w:firstLineChars="200"/>
        <w:rPr>
          <w:rFonts w:ascii="宋体" w:hAnsi="宋体"/>
        </w:rPr>
      </w:pPr>
      <w:r>
        <w:rPr>
          <w:rFonts w:ascii="宋体" w:hAnsi="宋体"/>
        </w:rPr>
        <w:drawing>
          <wp:anchor distT="0" distB="0" distL="114300" distR="114300" simplePos="0" relativeHeight="251663360" behindDoc="1" locked="0" layoutInCell="1" allowOverlap="1">
            <wp:simplePos x="0" y="0"/>
            <wp:positionH relativeFrom="column">
              <wp:posOffset>2919730</wp:posOffset>
            </wp:positionH>
            <wp:positionV relativeFrom="paragraph">
              <wp:posOffset>2778125</wp:posOffset>
            </wp:positionV>
            <wp:extent cx="1744980" cy="3599815"/>
            <wp:effectExtent l="0" t="0" r="7620" b="6985"/>
            <wp:wrapThrough wrapText="bothSides">
              <wp:wrapPolygon>
                <wp:start x="0" y="0"/>
                <wp:lineTo x="0" y="21490"/>
                <wp:lineTo x="21380" y="21490"/>
                <wp:lineTo x="21380" y="0"/>
                <wp:lineTo x="0" y="0"/>
              </wp:wrapPolygon>
            </wp:wrapThrough>
            <wp:docPr id="8" name="图片 8"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4"/>
                    <pic:cNvPicPr>
                      <a:picLocks noChangeAspect="1"/>
                    </pic:cNvPicPr>
                  </pic:nvPicPr>
                  <pic:blipFill>
                    <a:blip r:embed="rId6"/>
                    <a:stretch>
                      <a:fillRect/>
                    </a:stretch>
                  </pic:blipFill>
                  <pic:spPr>
                    <a:xfrm>
                      <a:off x="0" y="0"/>
                      <a:ext cx="1744781" cy="3600000"/>
                    </a:xfrm>
                    <a:prstGeom prst="rect">
                      <a:avLst/>
                    </a:prstGeom>
                  </pic:spPr>
                </pic:pic>
              </a:graphicData>
            </a:graphic>
          </wp:anchor>
        </w:drawing>
      </w:r>
      <w:r>
        <w:rPr>
          <w:rFonts w:ascii="宋体" w:hAnsi="宋体"/>
        </w:rPr>
        <w:drawing>
          <wp:anchor distT="0" distB="0" distL="114300" distR="114300" simplePos="0" relativeHeight="251660288" behindDoc="1" locked="0" layoutInCell="1" allowOverlap="1">
            <wp:simplePos x="0" y="0"/>
            <wp:positionH relativeFrom="column">
              <wp:posOffset>485140</wp:posOffset>
            </wp:positionH>
            <wp:positionV relativeFrom="paragraph">
              <wp:posOffset>2782570</wp:posOffset>
            </wp:positionV>
            <wp:extent cx="1762125" cy="3636010"/>
            <wp:effectExtent l="0" t="0" r="3175" b="8890"/>
            <wp:wrapThrough wrapText="bothSides">
              <wp:wrapPolygon>
                <wp:start x="0" y="0"/>
                <wp:lineTo x="0" y="21502"/>
                <wp:lineTo x="21483" y="21502"/>
                <wp:lineTo x="21483" y="0"/>
                <wp:lineTo x="0" y="0"/>
              </wp:wrapPolygon>
            </wp:wrapThrough>
            <wp:docPr id="3" name="图片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
                    <pic:cNvPicPr>
                      <a:picLocks noChangeAspect="1"/>
                    </pic:cNvPicPr>
                  </pic:nvPicPr>
                  <pic:blipFill>
                    <a:blip r:embed="rId7"/>
                    <a:stretch>
                      <a:fillRect/>
                    </a:stretch>
                  </pic:blipFill>
                  <pic:spPr>
                    <a:xfrm>
                      <a:off x="0" y="0"/>
                      <a:ext cx="1762360" cy="3636000"/>
                    </a:xfrm>
                    <a:prstGeom prst="rect">
                      <a:avLst/>
                    </a:prstGeom>
                  </pic:spPr>
                </pic:pic>
              </a:graphicData>
            </a:graphic>
          </wp:anchor>
        </w:drawing>
      </w:r>
      <w:r>
        <w:rPr>
          <w:rFonts w:ascii="宋体" w:hAnsi="宋体"/>
        </w:rPr>
        <w:br w:type="page"/>
      </w:r>
    </w:p>
    <w:p>
      <w:pPr>
        <w:spacing w:line="360" w:lineRule="auto"/>
        <w:ind w:firstLine="420" w:firstLineChars="200"/>
        <w:rPr>
          <w:rFonts w:ascii="宋体" w:hAnsi="宋体"/>
        </w:rPr>
      </w:pPr>
      <w:r>
        <w:rPr>
          <w:rFonts w:ascii="宋体" w:hAnsi="宋体"/>
        </w:rPr>
        <w:drawing>
          <wp:anchor distT="0" distB="0" distL="114300" distR="114300" simplePos="0" relativeHeight="251661312" behindDoc="1" locked="0" layoutInCell="1" allowOverlap="1">
            <wp:simplePos x="0" y="0"/>
            <wp:positionH relativeFrom="column">
              <wp:posOffset>2954020</wp:posOffset>
            </wp:positionH>
            <wp:positionV relativeFrom="paragraph">
              <wp:posOffset>94615</wp:posOffset>
            </wp:positionV>
            <wp:extent cx="1917700" cy="3959860"/>
            <wp:effectExtent l="0" t="0" r="0" b="2540"/>
            <wp:wrapThrough wrapText="bothSides">
              <wp:wrapPolygon>
                <wp:start x="0" y="0"/>
                <wp:lineTo x="0" y="21545"/>
                <wp:lineTo x="21457" y="21545"/>
                <wp:lineTo x="21457" y="0"/>
                <wp:lineTo x="0" y="0"/>
              </wp:wrapPolygon>
            </wp:wrapThrough>
            <wp:docPr id="6" name="图片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
                    <pic:cNvPicPr>
                      <a:picLocks noChangeAspect="1"/>
                    </pic:cNvPicPr>
                  </pic:nvPicPr>
                  <pic:blipFill>
                    <a:blip r:embed="rId8"/>
                    <a:stretch>
                      <a:fillRect/>
                    </a:stretch>
                  </pic:blipFill>
                  <pic:spPr>
                    <a:xfrm>
                      <a:off x="0" y="0"/>
                      <a:ext cx="1917982" cy="3960000"/>
                    </a:xfrm>
                    <a:prstGeom prst="rect">
                      <a:avLst/>
                    </a:prstGeom>
                  </pic:spPr>
                </pic:pic>
              </a:graphicData>
            </a:graphic>
          </wp:anchor>
        </w:drawing>
      </w:r>
      <w:r>
        <w:rPr>
          <w:rFonts w:ascii="宋体" w:hAnsi="宋体"/>
        </w:rPr>
        <w:drawing>
          <wp:anchor distT="0" distB="0" distL="114300" distR="114300" simplePos="0" relativeHeight="251664384" behindDoc="1" locked="0" layoutInCell="1" allowOverlap="1">
            <wp:simplePos x="0" y="0"/>
            <wp:positionH relativeFrom="column">
              <wp:posOffset>500380</wp:posOffset>
            </wp:positionH>
            <wp:positionV relativeFrom="paragraph">
              <wp:posOffset>72390</wp:posOffset>
            </wp:positionV>
            <wp:extent cx="1920240" cy="3959860"/>
            <wp:effectExtent l="0" t="0" r="10160" b="2540"/>
            <wp:wrapThrough wrapText="bothSides">
              <wp:wrapPolygon>
                <wp:start x="0" y="0"/>
                <wp:lineTo x="0" y="21545"/>
                <wp:lineTo x="21429" y="21545"/>
                <wp:lineTo x="21429" y="0"/>
                <wp:lineTo x="0" y="0"/>
              </wp:wrapPolygon>
            </wp:wrapThrough>
            <wp:docPr id="9" name="图片 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5"/>
                    <pic:cNvPicPr>
                      <a:picLocks noChangeAspect="1"/>
                    </pic:cNvPicPr>
                  </pic:nvPicPr>
                  <pic:blipFill>
                    <a:blip r:embed="rId9"/>
                    <a:stretch>
                      <a:fillRect/>
                    </a:stretch>
                  </pic:blipFill>
                  <pic:spPr>
                    <a:xfrm>
                      <a:off x="0" y="0"/>
                      <a:ext cx="1920097" cy="3960000"/>
                    </a:xfrm>
                    <a:prstGeom prst="rect">
                      <a:avLst/>
                    </a:prstGeom>
                  </pic:spPr>
                </pic:pic>
              </a:graphicData>
            </a:graphic>
          </wp:anchor>
        </w:drawing>
      </w:r>
    </w:p>
    <w:p>
      <w:pPr>
        <w:pStyle w:val="2"/>
        <w:spacing w:line="360" w:lineRule="auto"/>
        <w:ind w:left="0" w:leftChars="0" w:firstLine="420" w:firstLineChars="200"/>
        <w:rPr>
          <w:rFonts w:ascii="宋体" w:hAnsi="宋体" w:eastAsia="宋体"/>
        </w:rPr>
      </w:pPr>
    </w:p>
    <w:p>
      <w:pPr>
        <w:spacing w:line="360" w:lineRule="auto"/>
        <w:ind w:firstLine="640" w:firstLineChars="200"/>
        <w:rPr>
          <w:rFonts w:ascii="宋体" w:hAnsi="宋体"/>
          <w:sz w:val="32"/>
          <w:szCs w:val="32"/>
        </w:rPr>
      </w:pPr>
    </w:p>
    <w:p>
      <w:pPr>
        <w:spacing w:line="360" w:lineRule="auto"/>
        <w:ind w:firstLine="640" w:firstLineChars="200"/>
        <w:rPr>
          <w:rFonts w:ascii="宋体" w:hAnsi="宋体"/>
          <w:sz w:val="32"/>
          <w:szCs w:val="32"/>
        </w:rPr>
      </w:pPr>
    </w:p>
    <w:p>
      <w:pPr>
        <w:spacing w:line="360" w:lineRule="auto"/>
        <w:ind w:firstLine="640" w:firstLineChars="200"/>
        <w:rPr>
          <w:rFonts w:ascii="宋体" w:hAnsi="宋体"/>
          <w:sz w:val="32"/>
          <w:szCs w:val="32"/>
        </w:rPr>
      </w:pPr>
    </w:p>
    <w:p>
      <w:pPr>
        <w:spacing w:line="360" w:lineRule="auto"/>
        <w:ind w:firstLine="640" w:firstLineChars="200"/>
        <w:rPr>
          <w:rFonts w:ascii="宋体" w:hAnsi="宋体"/>
          <w:sz w:val="32"/>
          <w:szCs w:val="32"/>
        </w:rPr>
      </w:pPr>
    </w:p>
    <w:p>
      <w:pPr>
        <w:spacing w:line="360" w:lineRule="auto"/>
        <w:ind w:firstLine="640" w:firstLineChars="200"/>
        <w:rPr>
          <w:rFonts w:ascii="宋体" w:hAnsi="宋体"/>
          <w:sz w:val="32"/>
          <w:szCs w:val="32"/>
        </w:rPr>
      </w:pPr>
    </w:p>
    <w:p>
      <w:pPr>
        <w:pStyle w:val="2"/>
        <w:ind w:left="0" w:leftChars="0"/>
        <w:rPr>
          <w:rFonts w:ascii="宋体" w:hAnsi="宋体" w:eastAsia="宋体"/>
        </w:rPr>
      </w:pPr>
    </w:p>
    <w:p>
      <w:pPr>
        <w:rPr>
          <w:rFonts w:ascii="宋体" w:hAnsi="宋体"/>
        </w:rPr>
      </w:pPr>
    </w:p>
    <w:p>
      <w:pPr>
        <w:pStyle w:val="2"/>
        <w:ind w:left="0" w:leftChars="0"/>
        <w:rPr>
          <w:rFonts w:ascii="宋体" w:hAnsi="宋体" w:eastAsia="宋体"/>
        </w:rPr>
      </w:pPr>
    </w:p>
    <w:p>
      <w:pPr>
        <w:rPr>
          <w:rFonts w:ascii="宋体" w:hAnsi="宋体"/>
        </w:rPr>
      </w:pPr>
    </w:p>
    <w:p>
      <w:pPr>
        <w:pStyle w:val="2"/>
        <w:ind w:left="0" w:leftChars="0"/>
        <w:rPr>
          <w:rFonts w:ascii="宋体" w:hAnsi="宋体" w:eastAsia="宋体"/>
        </w:rPr>
      </w:pPr>
    </w:p>
    <w:p>
      <w:pPr>
        <w:rPr>
          <w:rFonts w:ascii="宋体" w:hAnsi="宋体"/>
        </w:rPr>
      </w:pPr>
    </w:p>
    <w:p>
      <w:pPr>
        <w:pStyle w:val="2"/>
        <w:ind w:left="0" w:leftChars="0"/>
        <w:rPr>
          <w:rFonts w:ascii="宋体" w:hAnsi="宋体" w:eastAsia="宋体"/>
        </w:rPr>
      </w:pPr>
    </w:p>
    <w:p>
      <w:pPr>
        <w:rPr>
          <w:rFonts w:ascii="宋体" w:hAnsi="宋体"/>
        </w:rPr>
      </w:pPr>
    </w:p>
    <w:p>
      <w:pPr>
        <w:pStyle w:val="2"/>
        <w:ind w:left="0" w:leftChars="0"/>
        <w:rPr>
          <w:rFonts w:ascii="宋体" w:hAnsi="宋体" w:eastAsia="宋体"/>
        </w:rPr>
      </w:pPr>
    </w:p>
    <w:p>
      <w:pPr>
        <w:rPr>
          <w:rFonts w:ascii="宋体" w:hAnsi="宋体"/>
        </w:rPr>
      </w:pPr>
    </w:p>
    <w:p>
      <w:pPr>
        <w:rPr>
          <w:rFonts w:ascii="宋体" w:hAnsi="宋体"/>
          <w:sz w:val="32"/>
          <w:szCs w:val="32"/>
        </w:rPr>
      </w:pPr>
    </w:p>
    <w:p>
      <w:pPr>
        <w:adjustRightInd w:val="0"/>
        <w:snapToGrid w:val="0"/>
        <w:spacing w:line="600" w:lineRule="exact"/>
        <w:ind w:firstLine="640" w:firstLineChars="200"/>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F7A75E-648E-4D06-832C-92E2560756A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B87350A-2C5A-447C-927B-6C8EABD14864}"/>
  </w:font>
  <w:font w:name="等线">
    <w:panose1 w:val="02010600030101010101"/>
    <w:charset w:val="86"/>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16A4B283-46A3-49C5-AC54-49FFB74DBA08}"/>
  </w:font>
  <w:font w:name="方正小标宋简体">
    <w:panose1 w:val="03000509000000000000"/>
    <w:charset w:val="86"/>
    <w:family w:val="script"/>
    <w:pitch w:val="default"/>
    <w:sig w:usb0="00000001" w:usb1="080E0000" w:usb2="00000000" w:usb3="00000000" w:csb0="00040000" w:csb1="00000000"/>
    <w:embedRegular r:id="rId4" w:fontKey="{3F93F8F1-3A82-483D-8BCD-FC5F5A8A5F27}"/>
  </w:font>
  <w:font w:name="方正仿宋_GBK">
    <w:panose1 w:val="03000509000000000000"/>
    <w:charset w:val="86"/>
    <w:family w:val="script"/>
    <w:pitch w:val="default"/>
    <w:sig w:usb0="00000001" w:usb1="080E0000" w:usb2="00000000" w:usb3="00000000" w:csb0="00040000" w:csb1="00000000"/>
    <w:embedRegular r:id="rId5" w:fontKey="{9484BD22-554F-4AFD-997A-B1CBD37BA3E1}"/>
  </w:font>
  <w:font w:name="楷体_GB2312">
    <w:panose1 w:val="02010609030101010101"/>
    <w:charset w:val="86"/>
    <w:family w:val="modern"/>
    <w:pitch w:val="default"/>
    <w:sig w:usb0="00000001" w:usb1="080E0000" w:usb2="00000000" w:usb3="00000000" w:csb0="00040000" w:csb1="00000000"/>
    <w:embedRegular r:id="rId6" w:fontKey="{BD83A927-CF13-4CCA-A290-75697CB8F31D}"/>
  </w:font>
  <w:font w:name="方正小标宋_GBK">
    <w:panose1 w:val="03000509000000000000"/>
    <w:charset w:val="86"/>
    <w:family w:val="auto"/>
    <w:pitch w:val="default"/>
    <w:sig w:usb0="00000001" w:usb1="080E0000" w:usb2="00000000" w:usb3="00000000" w:csb0="00040000" w:csb1="00000000"/>
    <w:embedRegular r:id="rId7" w:fontKey="{EB814717-87F3-4AEB-A01D-4C55917CDFC0}"/>
  </w:font>
  <w:font w:name="FZXBSJW--GB1-0">
    <w:altName w:val="宋体"/>
    <w:panose1 w:val="00000000000000000000"/>
    <w:charset w:val="86"/>
    <w:family w:val="auto"/>
    <w:pitch w:val="default"/>
    <w:sig w:usb0="00000000" w:usb1="00000000" w:usb2="00000010" w:usb3="00000000" w:csb0="00040000" w:csb1="00000000"/>
    <w:embedRegular r:id="rId8" w:fontKey="{D0559A84-C0D3-4070-8FB9-3F5CC3FB5DFA}"/>
  </w:font>
  <w:font w:name="仿宋">
    <w:panose1 w:val="02010609060101010101"/>
    <w:charset w:val="86"/>
    <w:family w:val="auto"/>
    <w:pitch w:val="default"/>
    <w:sig w:usb0="800002BF" w:usb1="38CF7CFA" w:usb2="00000016" w:usb3="00000000" w:csb0="00040001" w:csb1="00000000"/>
    <w:embedRegular r:id="rId9" w:fontKey="{6E131DAF-53CB-4935-A136-C76715A32450}"/>
  </w:font>
  <w:font w:name="等线">
    <w:panose1 w:val="02010600030101010101"/>
    <w:charset w:val="00"/>
    <w:family w:val="auto"/>
    <w:pitch w:val="default"/>
    <w:sig w:usb0="00000000" w:usb1="00000000" w:usb2="00000000" w:usb3="00000000" w:csb0="00000000" w:csb1="00000000"/>
    <w:embedRegular r:id="rId10" w:fontKey="{8A3F5D45-925A-497A-BF8B-31BE16DC2A1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511"/>
    <w:multiLevelType w:val="multilevel"/>
    <w:tmpl w:val="03F91511"/>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7D636178"/>
    <w:multiLevelType w:val="singleLevel"/>
    <w:tmpl w:val="7D63617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02"/>
    <w:rsid w:val="00035518"/>
    <w:rsid w:val="00237E4F"/>
    <w:rsid w:val="00931547"/>
    <w:rsid w:val="00D23B6E"/>
    <w:rsid w:val="00E11043"/>
    <w:rsid w:val="00E71E02"/>
    <w:rsid w:val="01301CF1"/>
    <w:rsid w:val="01C75D8E"/>
    <w:rsid w:val="020E7B09"/>
    <w:rsid w:val="02BA519C"/>
    <w:rsid w:val="031A6D39"/>
    <w:rsid w:val="04075A42"/>
    <w:rsid w:val="04647C3A"/>
    <w:rsid w:val="04AB2947"/>
    <w:rsid w:val="04AC4A96"/>
    <w:rsid w:val="04CF7C82"/>
    <w:rsid w:val="055353DB"/>
    <w:rsid w:val="05D454F8"/>
    <w:rsid w:val="06964DA1"/>
    <w:rsid w:val="06B211BA"/>
    <w:rsid w:val="06CE54E5"/>
    <w:rsid w:val="06FE6BA0"/>
    <w:rsid w:val="07BA316C"/>
    <w:rsid w:val="07C64A19"/>
    <w:rsid w:val="07F2307C"/>
    <w:rsid w:val="08735BB2"/>
    <w:rsid w:val="08CB2759"/>
    <w:rsid w:val="093C56B6"/>
    <w:rsid w:val="095C5189"/>
    <w:rsid w:val="0A9C4894"/>
    <w:rsid w:val="0B526851"/>
    <w:rsid w:val="0D3B5F48"/>
    <w:rsid w:val="0E6B282B"/>
    <w:rsid w:val="0F422E30"/>
    <w:rsid w:val="0F5F7C9D"/>
    <w:rsid w:val="0F8B60A2"/>
    <w:rsid w:val="0FAD7BEF"/>
    <w:rsid w:val="10DD65EE"/>
    <w:rsid w:val="112F54E9"/>
    <w:rsid w:val="11FF2596"/>
    <w:rsid w:val="12A3214F"/>
    <w:rsid w:val="12BA5ACF"/>
    <w:rsid w:val="12E60C56"/>
    <w:rsid w:val="13C234F2"/>
    <w:rsid w:val="153D279B"/>
    <w:rsid w:val="15DA15E8"/>
    <w:rsid w:val="160332B4"/>
    <w:rsid w:val="167651AF"/>
    <w:rsid w:val="16B7148E"/>
    <w:rsid w:val="16E01277"/>
    <w:rsid w:val="17025079"/>
    <w:rsid w:val="188C18BD"/>
    <w:rsid w:val="18AD2D63"/>
    <w:rsid w:val="19535E18"/>
    <w:rsid w:val="1A006F3F"/>
    <w:rsid w:val="1A3411FE"/>
    <w:rsid w:val="1ABB1828"/>
    <w:rsid w:val="1ACF6ACC"/>
    <w:rsid w:val="1B6F7559"/>
    <w:rsid w:val="1BF51917"/>
    <w:rsid w:val="1EF37DFE"/>
    <w:rsid w:val="1F487BE8"/>
    <w:rsid w:val="200900F9"/>
    <w:rsid w:val="20F36823"/>
    <w:rsid w:val="21470B7C"/>
    <w:rsid w:val="21926BD4"/>
    <w:rsid w:val="2244388E"/>
    <w:rsid w:val="22E13A6E"/>
    <w:rsid w:val="2372062C"/>
    <w:rsid w:val="239945A6"/>
    <w:rsid w:val="24097FA5"/>
    <w:rsid w:val="24133D41"/>
    <w:rsid w:val="242A28E5"/>
    <w:rsid w:val="24472B82"/>
    <w:rsid w:val="24C924F5"/>
    <w:rsid w:val="25EF633B"/>
    <w:rsid w:val="2626159F"/>
    <w:rsid w:val="26B26B9E"/>
    <w:rsid w:val="27712621"/>
    <w:rsid w:val="2827782E"/>
    <w:rsid w:val="282B5799"/>
    <w:rsid w:val="288C493D"/>
    <w:rsid w:val="28BF599A"/>
    <w:rsid w:val="28C6677F"/>
    <w:rsid w:val="296B706E"/>
    <w:rsid w:val="297559DB"/>
    <w:rsid w:val="299E2848"/>
    <w:rsid w:val="29E26A10"/>
    <w:rsid w:val="2A232CE0"/>
    <w:rsid w:val="2A8135D7"/>
    <w:rsid w:val="2ABD2347"/>
    <w:rsid w:val="2B8B4EB3"/>
    <w:rsid w:val="2B941121"/>
    <w:rsid w:val="2C42422E"/>
    <w:rsid w:val="2C73202F"/>
    <w:rsid w:val="2C9179B5"/>
    <w:rsid w:val="2CD10F02"/>
    <w:rsid w:val="2CD86EB9"/>
    <w:rsid w:val="2CEE0044"/>
    <w:rsid w:val="2D9808E9"/>
    <w:rsid w:val="2DC340D0"/>
    <w:rsid w:val="2DC63FB5"/>
    <w:rsid w:val="2E5A1059"/>
    <w:rsid w:val="2F2F50CE"/>
    <w:rsid w:val="2F6C5716"/>
    <w:rsid w:val="2FF458F1"/>
    <w:rsid w:val="2FF9037C"/>
    <w:rsid w:val="30785F2C"/>
    <w:rsid w:val="31A16472"/>
    <w:rsid w:val="31DB4646"/>
    <w:rsid w:val="321427ED"/>
    <w:rsid w:val="33893F1F"/>
    <w:rsid w:val="33C3782F"/>
    <w:rsid w:val="34F35C74"/>
    <w:rsid w:val="353A3796"/>
    <w:rsid w:val="35735D65"/>
    <w:rsid w:val="358A620B"/>
    <w:rsid w:val="35F30EB0"/>
    <w:rsid w:val="36283D0B"/>
    <w:rsid w:val="36331453"/>
    <w:rsid w:val="366A1EE0"/>
    <w:rsid w:val="367E3FFA"/>
    <w:rsid w:val="3752293E"/>
    <w:rsid w:val="384A079F"/>
    <w:rsid w:val="384D5B94"/>
    <w:rsid w:val="397A15D7"/>
    <w:rsid w:val="39940C70"/>
    <w:rsid w:val="39FA41D9"/>
    <w:rsid w:val="3A3B6FD2"/>
    <w:rsid w:val="3B4D6E52"/>
    <w:rsid w:val="3B535FBB"/>
    <w:rsid w:val="3BCE251A"/>
    <w:rsid w:val="3BD83D23"/>
    <w:rsid w:val="3BDB4B23"/>
    <w:rsid w:val="3CCE4E3C"/>
    <w:rsid w:val="3D162666"/>
    <w:rsid w:val="3E637300"/>
    <w:rsid w:val="3E7F160D"/>
    <w:rsid w:val="3E8E6560"/>
    <w:rsid w:val="3E9534DE"/>
    <w:rsid w:val="3F404827"/>
    <w:rsid w:val="3F48069C"/>
    <w:rsid w:val="40887E1A"/>
    <w:rsid w:val="41DF2797"/>
    <w:rsid w:val="41F22522"/>
    <w:rsid w:val="422051D1"/>
    <w:rsid w:val="425F0EB7"/>
    <w:rsid w:val="43320086"/>
    <w:rsid w:val="433551F2"/>
    <w:rsid w:val="43860D1A"/>
    <w:rsid w:val="44760BD8"/>
    <w:rsid w:val="449539BA"/>
    <w:rsid w:val="44ED05B3"/>
    <w:rsid w:val="45AA3F79"/>
    <w:rsid w:val="45BA1A63"/>
    <w:rsid w:val="4661566A"/>
    <w:rsid w:val="46DC236D"/>
    <w:rsid w:val="48F87C3A"/>
    <w:rsid w:val="490019BE"/>
    <w:rsid w:val="49F9041F"/>
    <w:rsid w:val="4A184AF1"/>
    <w:rsid w:val="4AC04A88"/>
    <w:rsid w:val="4ACD39DE"/>
    <w:rsid w:val="4AF01E4F"/>
    <w:rsid w:val="4C333F0F"/>
    <w:rsid w:val="4C793C47"/>
    <w:rsid w:val="4C8D348C"/>
    <w:rsid w:val="4CA600B2"/>
    <w:rsid w:val="4CDB6A43"/>
    <w:rsid w:val="4CF63EA0"/>
    <w:rsid w:val="4D237587"/>
    <w:rsid w:val="4D5637F7"/>
    <w:rsid w:val="4D970EC5"/>
    <w:rsid w:val="4DC63829"/>
    <w:rsid w:val="4E2112EB"/>
    <w:rsid w:val="4F466664"/>
    <w:rsid w:val="4FBF2155"/>
    <w:rsid w:val="50092D0A"/>
    <w:rsid w:val="5028414C"/>
    <w:rsid w:val="50E5094B"/>
    <w:rsid w:val="50E742B7"/>
    <w:rsid w:val="51690F12"/>
    <w:rsid w:val="52A71252"/>
    <w:rsid w:val="530C0B57"/>
    <w:rsid w:val="54752631"/>
    <w:rsid w:val="54992967"/>
    <w:rsid w:val="55CB201E"/>
    <w:rsid w:val="55F33869"/>
    <w:rsid w:val="55F9106C"/>
    <w:rsid w:val="55FD7CE8"/>
    <w:rsid w:val="5645260F"/>
    <w:rsid w:val="565D520D"/>
    <w:rsid w:val="56EA6257"/>
    <w:rsid w:val="5742029F"/>
    <w:rsid w:val="58230967"/>
    <w:rsid w:val="586E0A6D"/>
    <w:rsid w:val="58E66951"/>
    <w:rsid w:val="591B0F19"/>
    <w:rsid w:val="59B45B80"/>
    <w:rsid w:val="59D75C89"/>
    <w:rsid w:val="5ADF57F8"/>
    <w:rsid w:val="5B651B94"/>
    <w:rsid w:val="5BC77571"/>
    <w:rsid w:val="5BD12152"/>
    <w:rsid w:val="5BD33317"/>
    <w:rsid w:val="5BEA6687"/>
    <w:rsid w:val="5C672A18"/>
    <w:rsid w:val="5CE9450E"/>
    <w:rsid w:val="5D0B18D4"/>
    <w:rsid w:val="5D190C89"/>
    <w:rsid w:val="5D562258"/>
    <w:rsid w:val="5D692316"/>
    <w:rsid w:val="5D8B7EBA"/>
    <w:rsid w:val="5E0D075E"/>
    <w:rsid w:val="5E570BFC"/>
    <w:rsid w:val="5F25326A"/>
    <w:rsid w:val="5F764260"/>
    <w:rsid w:val="600308F5"/>
    <w:rsid w:val="60A24219"/>
    <w:rsid w:val="610B4D34"/>
    <w:rsid w:val="611F0FFD"/>
    <w:rsid w:val="61B24FD4"/>
    <w:rsid w:val="621D0903"/>
    <w:rsid w:val="62664247"/>
    <w:rsid w:val="629A750A"/>
    <w:rsid w:val="63440767"/>
    <w:rsid w:val="64351D1B"/>
    <w:rsid w:val="64807816"/>
    <w:rsid w:val="64D166DE"/>
    <w:rsid w:val="65B76776"/>
    <w:rsid w:val="66ED0F5A"/>
    <w:rsid w:val="670E4B00"/>
    <w:rsid w:val="67372A52"/>
    <w:rsid w:val="688D1BEB"/>
    <w:rsid w:val="697D38AA"/>
    <w:rsid w:val="69A91162"/>
    <w:rsid w:val="6A480759"/>
    <w:rsid w:val="6B8965AF"/>
    <w:rsid w:val="6B9213B4"/>
    <w:rsid w:val="6C952C21"/>
    <w:rsid w:val="6D15021D"/>
    <w:rsid w:val="6DFF2A66"/>
    <w:rsid w:val="6EA1068C"/>
    <w:rsid w:val="6ED44035"/>
    <w:rsid w:val="6F575D8E"/>
    <w:rsid w:val="6FFB340D"/>
    <w:rsid w:val="703E34E4"/>
    <w:rsid w:val="70A9630B"/>
    <w:rsid w:val="70E475D6"/>
    <w:rsid w:val="73551434"/>
    <w:rsid w:val="73F158C0"/>
    <w:rsid w:val="73FA65DE"/>
    <w:rsid w:val="74600FDA"/>
    <w:rsid w:val="74B723DD"/>
    <w:rsid w:val="759E533D"/>
    <w:rsid w:val="75DA11CA"/>
    <w:rsid w:val="76ED2E2D"/>
    <w:rsid w:val="76F75D26"/>
    <w:rsid w:val="77351954"/>
    <w:rsid w:val="77AC77C7"/>
    <w:rsid w:val="77D85EF1"/>
    <w:rsid w:val="78904F5A"/>
    <w:rsid w:val="794A3FA6"/>
    <w:rsid w:val="7B244BCE"/>
    <w:rsid w:val="7BA22967"/>
    <w:rsid w:val="7BE27C05"/>
    <w:rsid w:val="7C0955B6"/>
    <w:rsid w:val="7CA6227E"/>
    <w:rsid w:val="7CD00706"/>
    <w:rsid w:val="7D525CF3"/>
    <w:rsid w:val="7EB421A5"/>
    <w:rsid w:val="7F8A5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index 4"/>
    <w:basedOn w:val="1"/>
    <w:next w:val="1"/>
    <w:qFormat/>
    <w:uiPriority w:val="99"/>
    <w:pPr>
      <w:ind w:left="600" w:leftChars="600"/>
    </w:pPr>
    <w:rPr>
      <w:rFonts w:ascii="Verdana" w:hAnsi="Verdana" w:eastAsia="等线" w:cs="宋体"/>
    </w:rPr>
  </w:style>
  <w:style w:type="table" w:styleId="4">
    <w:name w:val="Table Grid"/>
    <w:basedOn w:val="3"/>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174</Words>
  <Characters>993</Characters>
  <Lines>8</Lines>
  <Paragraphs>2</Paragraphs>
  <TotalTime>2</TotalTime>
  <ScaleCrop>false</ScaleCrop>
  <LinksUpToDate>false</LinksUpToDate>
  <CharactersWithSpaces>1165</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2020-06-27T09:35:00Z</dcterms:created>
  <dc:creator>sgcc</dc:creator>
  <cp:lastModifiedBy>李敏</cp:lastModifiedBy>
  <dcterms:modified xsi:type="dcterms:W3CDTF">2021-12-27T13:29:18Z</dcterms:modified>
  <dc:title>附件7</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DE036C33DB7944EBBE9925BB9CD064F3</vt:lpwstr>
  </property>
</Properties>
</file>