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line="600" w:lineRule="exac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18</w:t>
      </w:r>
    </w:p>
    <w:p>
      <w:pPr>
        <w:keepNext w:val="0"/>
        <w:keepLines w:val="0"/>
        <w:pageBreakBefore w:val="0"/>
        <w:kinsoku/>
        <w:wordWrap/>
        <w:overflowPunct/>
        <w:topLinePunct w:val="0"/>
        <w:autoSpaceDE/>
        <w:autoSpaceDN/>
        <w:bidi w:val="0"/>
        <w:adjustRightInd w:val="0"/>
        <w:snapToGrid w:val="0"/>
        <w:spacing w:line="600" w:lineRule="exact"/>
        <w:jc w:val="center"/>
        <w:rPr>
          <w:rFonts w:ascii="方正小标宋简体" w:eastAsia="方正小标宋简体"/>
          <w:sz w:val="44"/>
          <w:szCs w:val="44"/>
        </w:rPr>
      </w:pPr>
      <w:r>
        <w:rPr>
          <w:rFonts w:hint="eastAsia" w:ascii="方正小标宋简体" w:eastAsia="方正小标宋简体"/>
          <w:sz w:val="44"/>
          <w:szCs w:val="44"/>
          <w:lang w:eastAsia="zh-CN"/>
        </w:rPr>
        <w:t>西宁考点安排及疫情防控要求</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ascii="方正仿宋_GBK" w:eastAsia="方正仿宋_GBK"/>
          <w:sz w:val="32"/>
          <w:szCs w:val="32"/>
        </w:rPr>
      </w:pPr>
    </w:p>
    <w:p>
      <w:pPr>
        <w:pStyle w:val="4"/>
        <w:keepNext w:val="0"/>
        <w:keepLines w:val="0"/>
        <w:pageBreakBefore w:val="0"/>
        <w:numPr>
          <w:ilvl w:val="0"/>
          <w:numId w:val="1"/>
        </w:numPr>
        <w:kinsoku/>
        <w:wordWrap/>
        <w:overflowPunct/>
        <w:topLinePunct w:val="0"/>
        <w:autoSpaceDE/>
        <w:autoSpaceDN/>
        <w:bidi w:val="0"/>
        <w:adjustRightInd w:val="0"/>
        <w:snapToGrid w:val="0"/>
        <w:spacing w:line="600" w:lineRule="exact"/>
        <w:ind w:firstLineChars="0"/>
        <w:rPr>
          <w:rFonts w:ascii="黑体" w:hAnsi="黑体" w:eastAsia="黑体"/>
          <w:sz w:val="32"/>
          <w:szCs w:val="32"/>
        </w:rPr>
      </w:pPr>
      <w:r>
        <w:rPr>
          <w:rFonts w:hint="eastAsia" w:ascii="黑体" w:hAnsi="黑体" w:eastAsia="黑体"/>
          <w:sz w:val="32"/>
          <w:szCs w:val="32"/>
        </w:rPr>
        <w:t>考点地址</w:t>
      </w:r>
      <w:bookmarkStart w:id="0" w:name="_GoBack"/>
      <w:bookmarkEnd w:id="0"/>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t>西宁城市职业技术学院4号实训楼进行（西宁市城北区宁张路295号）</w:t>
      </w:r>
      <w:r>
        <w:rPr>
          <w:rFonts w:hint="eastAsia" w:ascii="仿宋_GB2312" w:hAnsi="仿宋_GB2312" w:eastAsia="仿宋_GB2312" w:cs="仿宋_GB2312"/>
          <w:color w:val="auto"/>
          <w:sz w:val="32"/>
          <w:szCs w:val="32"/>
        </w:rPr>
        <w:t>。</w:t>
      </w:r>
    </w:p>
    <w:p>
      <w:pPr>
        <w:pStyle w:val="4"/>
        <w:keepNext w:val="0"/>
        <w:keepLines w:val="0"/>
        <w:pageBreakBefore w:val="0"/>
        <w:numPr>
          <w:ilvl w:val="0"/>
          <w:numId w:val="1"/>
        </w:numPr>
        <w:kinsoku/>
        <w:wordWrap/>
        <w:overflowPunct/>
        <w:topLinePunct w:val="0"/>
        <w:autoSpaceDE/>
        <w:autoSpaceDN/>
        <w:bidi w:val="0"/>
        <w:adjustRightInd w:val="0"/>
        <w:snapToGrid w:val="0"/>
        <w:spacing w:line="600" w:lineRule="exact"/>
        <w:ind w:firstLineChars="0"/>
        <w:rPr>
          <w:rFonts w:ascii="黑体" w:hAnsi="黑体" w:eastAsia="黑体"/>
          <w:sz w:val="32"/>
          <w:szCs w:val="32"/>
        </w:rPr>
      </w:pPr>
      <w:r>
        <w:rPr>
          <w:rFonts w:hint="eastAsia" w:ascii="黑体" w:hAnsi="黑体" w:eastAsia="黑体"/>
          <w:sz w:val="32"/>
          <w:szCs w:val="32"/>
        </w:rPr>
        <w:t>资格审查安排</w:t>
      </w:r>
    </w:p>
    <w:p>
      <w:pPr>
        <w:pStyle w:val="4"/>
        <w:keepNext w:val="0"/>
        <w:keepLines w:val="0"/>
        <w:pageBreakBefore w:val="0"/>
        <w:kinsoku/>
        <w:wordWrap/>
        <w:overflowPunct/>
        <w:topLinePunct w:val="0"/>
        <w:autoSpaceDE/>
        <w:autoSpaceDN/>
        <w:bidi w:val="0"/>
        <w:adjustRightInd w:val="0"/>
        <w:snapToGrid w:val="0"/>
        <w:spacing w:line="600" w:lineRule="exact"/>
        <w:ind w:firstLine="643"/>
        <w:rPr>
          <w:rFonts w:hint="eastAsia" w:ascii="楷体_GB2312" w:hAnsi="楷体_GB2312" w:eastAsia="楷体_GB2312" w:cs="楷体_GB2312"/>
          <w:b/>
          <w:bCs/>
          <w:color w:val="000000"/>
          <w:kern w:val="0"/>
          <w:sz w:val="32"/>
          <w:szCs w:val="32"/>
          <w:lang w:bidi="ar"/>
        </w:rPr>
      </w:pPr>
      <w:r>
        <w:rPr>
          <w:rFonts w:hint="eastAsia" w:ascii="楷体_GB2312" w:hAnsi="楷体_GB2312" w:eastAsia="楷体_GB2312" w:cs="楷体_GB2312"/>
          <w:b/>
          <w:bCs/>
          <w:sz w:val="32"/>
          <w:szCs w:val="32"/>
        </w:rPr>
        <w:t>（一）</w:t>
      </w:r>
      <w:r>
        <w:rPr>
          <w:rFonts w:hint="eastAsia" w:ascii="楷体_GB2312" w:hAnsi="楷体_GB2312" w:eastAsia="楷体_GB2312" w:cs="楷体_GB2312"/>
          <w:b/>
          <w:bCs/>
          <w:color w:val="000000"/>
          <w:kern w:val="0"/>
          <w:sz w:val="32"/>
          <w:szCs w:val="32"/>
          <w:lang w:bidi="ar"/>
        </w:rPr>
        <w:t>现场资格审查时间：</w:t>
      </w:r>
    </w:p>
    <w:p>
      <w:pPr>
        <w:pStyle w:val="4"/>
        <w:keepNext w:val="0"/>
        <w:keepLines w:val="0"/>
        <w:pageBreakBefore w:val="0"/>
        <w:kinsoku/>
        <w:wordWrap/>
        <w:overflowPunct/>
        <w:topLinePunct w:val="0"/>
        <w:autoSpaceDE/>
        <w:autoSpaceDN/>
        <w:bidi w:val="0"/>
        <w:adjustRightInd w:val="0"/>
        <w:snapToGrid w:val="0"/>
        <w:spacing w:line="600" w:lineRule="exact"/>
        <w:ind w:firstLine="640"/>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2022年1月1日08：30-12：30</w:t>
      </w:r>
    </w:p>
    <w:p>
      <w:pPr>
        <w:keepNext w:val="0"/>
        <w:keepLines w:val="0"/>
        <w:pageBreakBefore w:val="0"/>
        <w:widowControl/>
        <w:kinsoku/>
        <w:wordWrap/>
        <w:overflowPunct/>
        <w:topLinePunct w:val="0"/>
        <w:autoSpaceDE/>
        <w:autoSpaceDN/>
        <w:bidi w:val="0"/>
        <w:adjustRightInd w:val="0"/>
        <w:snapToGrid w:val="0"/>
        <w:spacing w:line="600" w:lineRule="exact"/>
        <w:ind w:firstLine="643" w:firstLineChars="200"/>
        <w:rPr>
          <w:rFonts w:hint="eastAsia" w:ascii="楷体_GB2312" w:hAnsi="楷体_GB2312" w:eastAsia="楷体_GB2312" w:cs="楷体_GB2312"/>
          <w:b/>
          <w:bCs/>
          <w:color w:val="000000"/>
          <w:kern w:val="0"/>
          <w:sz w:val="32"/>
          <w:szCs w:val="32"/>
          <w:lang w:bidi="ar"/>
        </w:rPr>
      </w:pPr>
      <w:r>
        <w:rPr>
          <w:rFonts w:hint="eastAsia" w:ascii="楷体_GB2312" w:hAnsi="楷体_GB2312" w:eastAsia="楷体_GB2312" w:cs="楷体_GB2312"/>
          <w:b/>
          <w:bCs/>
          <w:color w:val="000000"/>
          <w:kern w:val="0"/>
          <w:sz w:val="32"/>
          <w:szCs w:val="32"/>
          <w:lang w:bidi="ar"/>
        </w:rPr>
        <w:t>（二）现场资格审查地点：</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bidi="ar"/>
        </w:rPr>
        <w:t>国网青海省电力公司培训中心（西宁市城西区海晏路，市检察院西侧路口向北300米左右）</w:t>
      </w:r>
    </w:p>
    <w:p>
      <w:pPr>
        <w:pStyle w:val="4"/>
        <w:keepNext w:val="0"/>
        <w:keepLines w:val="0"/>
        <w:pageBreakBefore w:val="0"/>
        <w:kinsoku/>
        <w:wordWrap/>
        <w:overflowPunct/>
        <w:topLinePunct w:val="0"/>
        <w:autoSpaceDE/>
        <w:autoSpaceDN/>
        <w:bidi w:val="0"/>
        <w:adjustRightInd w:val="0"/>
        <w:snapToGrid w:val="0"/>
        <w:spacing w:line="600" w:lineRule="exact"/>
        <w:ind w:firstLine="643"/>
        <w:rPr>
          <w:rFonts w:ascii="楷体_GB2312" w:eastAsia="楷体_GB2312"/>
          <w:b/>
          <w:bCs/>
          <w:sz w:val="32"/>
          <w:szCs w:val="32"/>
        </w:rPr>
      </w:pPr>
      <w:r>
        <w:rPr>
          <w:rFonts w:hint="eastAsia" w:ascii="楷体_GB2312" w:eastAsia="楷体_GB2312"/>
          <w:b/>
          <w:bCs/>
          <w:sz w:val="32"/>
          <w:szCs w:val="32"/>
        </w:rPr>
        <w:t>（三）携带材料清单</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color w:val="auto"/>
          <w:kern w:val="0"/>
          <w:sz w:val="32"/>
          <w:szCs w:val="32"/>
          <w:lang w:bidi="ar"/>
        </w:rPr>
      </w:pPr>
      <w:r>
        <w:rPr>
          <w:rFonts w:hint="eastAsia" w:ascii="仿宋_GB2312" w:hAnsi="仿宋_GB2312" w:eastAsia="仿宋_GB2312"/>
          <w:sz w:val="32"/>
        </w:rPr>
        <w:t>考生需携带</w:t>
      </w:r>
      <w:r>
        <w:rPr>
          <w:rFonts w:hint="eastAsia" w:ascii="仿宋_GB2312" w:hAnsi="仿宋_GB2312" w:eastAsia="仿宋_GB2312"/>
          <w:b/>
          <w:bCs/>
          <w:sz w:val="32"/>
          <w:lang w:eastAsia="zh-CN"/>
        </w:rPr>
        <w:t>本人身份证件和考点所要求提供的材料，包括但不限于核酸检测阴性报告、健康绿码、大数据行程卡绿码等，详见疫情防控须知。</w:t>
      </w:r>
    </w:p>
    <w:p>
      <w:pPr>
        <w:pStyle w:val="4"/>
        <w:keepNext w:val="0"/>
        <w:keepLines w:val="0"/>
        <w:pageBreakBefore w:val="0"/>
        <w:numPr>
          <w:ilvl w:val="0"/>
          <w:numId w:val="1"/>
        </w:numPr>
        <w:kinsoku/>
        <w:wordWrap/>
        <w:overflowPunct/>
        <w:topLinePunct w:val="0"/>
        <w:autoSpaceDE/>
        <w:autoSpaceDN/>
        <w:bidi w:val="0"/>
        <w:adjustRightInd w:val="0"/>
        <w:snapToGrid w:val="0"/>
        <w:spacing w:line="600" w:lineRule="exact"/>
        <w:ind w:firstLineChars="0"/>
        <w:rPr>
          <w:rFonts w:ascii="黑体" w:hAnsi="黑体" w:eastAsia="黑体"/>
          <w:sz w:val="32"/>
          <w:szCs w:val="32"/>
        </w:rPr>
      </w:pPr>
      <w:r>
        <w:rPr>
          <w:rFonts w:hint="eastAsia" w:ascii="黑体" w:hAnsi="黑体" w:eastAsia="黑体"/>
          <w:sz w:val="32"/>
          <w:szCs w:val="32"/>
        </w:rPr>
        <w:t>疫情防控须知</w:t>
      </w:r>
    </w:p>
    <w:p>
      <w:pPr>
        <w:keepNext w:val="0"/>
        <w:keepLines w:val="0"/>
        <w:pageBreakBefore w:val="0"/>
        <w:kinsoku/>
        <w:wordWrap/>
        <w:overflowPunct/>
        <w:topLinePunct w:val="0"/>
        <w:autoSpaceDE/>
        <w:autoSpaceDN/>
        <w:bidi w:val="0"/>
        <w:adjustRightInd w:val="0"/>
        <w:snapToGrid w:val="0"/>
        <w:spacing w:line="600" w:lineRule="exact"/>
        <w:ind w:firstLine="640" w:firstLineChars="200"/>
        <w:outlineLvl w:val="0"/>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Cs/>
          <w:color w:val="auto"/>
          <w:sz w:val="32"/>
          <w:szCs w:val="32"/>
          <w:lang w:eastAsia="zh-CN"/>
        </w:rPr>
        <w:t>全体考生应</w:t>
      </w:r>
      <w:r>
        <w:rPr>
          <w:rFonts w:hint="eastAsia" w:ascii="仿宋_GB2312" w:hAnsi="仿宋_GB2312" w:eastAsia="仿宋_GB2312" w:cs="仿宋_GB2312"/>
          <w:bCs/>
          <w:color w:val="auto"/>
          <w:sz w:val="32"/>
          <w:szCs w:val="32"/>
        </w:rPr>
        <w:t>认真仔细阅读</w:t>
      </w:r>
      <w:r>
        <w:rPr>
          <w:rFonts w:hint="eastAsia" w:ascii="仿宋_GB2312" w:hAnsi="仿宋_GB2312" w:eastAsia="仿宋_GB2312" w:cs="仿宋_GB2312"/>
          <w:b/>
          <w:bCs/>
          <w:color w:val="auto"/>
          <w:sz w:val="32"/>
          <w:szCs w:val="32"/>
        </w:rPr>
        <w:t>《疫情防控告知书》（附1），提前做好防疫检查准备工作。务必实时关注所在地和青海省西宁市疫情防控最新通知要求，合理安排行程，严格遵守有关防疫措施。</w:t>
      </w:r>
      <w:r>
        <w:rPr>
          <w:rFonts w:hint="eastAsia" w:ascii="仿宋_GB2312" w:hAnsi="仿宋_GB2312" w:eastAsia="仿宋_GB2312" w:cs="仿宋_GB2312"/>
          <w:b/>
          <w:bCs/>
          <w:color w:val="auto"/>
          <w:sz w:val="32"/>
          <w:szCs w:val="32"/>
          <w:lang w:eastAsia="zh-CN"/>
        </w:rPr>
        <w:t>并提供以下材料：</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val="en-US" w:eastAsia="zh-CN" w:bidi="ar"/>
        </w:rPr>
        <w:t>1</w:t>
      </w:r>
      <w:r>
        <w:rPr>
          <w:rFonts w:hint="eastAsia" w:ascii="仿宋_GB2312" w:hAnsi="仿宋_GB2312" w:eastAsia="仿宋_GB2312" w:cs="仿宋_GB2312"/>
          <w:color w:val="auto"/>
          <w:kern w:val="0"/>
          <w:sz w:val="32"/>
          <w:szCs w:val="32"/>
          <w:lang w:bidi="ar"/>
        </w:rPr>
        <w:t>.48小时内核酸检测阴性证明（纸质）；</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color w:val="auto"/>
          <w:kern w:val="0"/>
          <w:sz w:val="32"/>
          <w:szCs w:val="32"/>
          <w:lang w:bidi="ar"/>
        </w:rPr>
      </w:pPr>
      <w:r>
        <w:rPr>
          <w:rFonts w:hint="eastAsia" w:ascii="仿宋_GB2312" w:hAnsi="仿宋_GB2312" w:eastAsia="仿宋_GB2312" w:cs="仿宋_GB2312"/>
          <w:color w:val="auto"/>
          <w:kern w:val="0"/>
          <w:sz w:val="32"/>
          <w:szCs w:val="32"/>
          <w:lang w:val="en-US" w:eastAsia="zh-CN" w:bidi="ar"/>
        </w:rPr>
        <w:t>2</w:t>
      </w:r>
      <w:r>
        <w:rPr>
          <w:rFonts w:hint="eastAsia" w:ascii="仿宋_GB2312" w:hAnsi="仿宋_GB2312" w:eastAsia="仿宋_GB2312" w:cs="仿宋_GB2312"/>
          <w:color w:val="auto"/>
          <w:kern w:val="0"/>
          <w:sz w:val="32"/>
          <w:szCs w:val="32"/>
          <w:lang w:bidi="ar"/>
        </w:rPr>
        <w:t>.青海健康码、通信大数据行程码、密接码（请将“三码”排列打印于同一张A4纸）；</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b/>
          <w:bCs/>
          <w:color w:val="auto"/>
          <w:kern w:val="0"/>
          <w:sz w:val="32"/>
          <w:szCs w:val="32"/>
          <w:lang w:bidi="ar"/>
        </w:rPr>
      </w:pPr>
      <w:r>
        <w:rPr>
          <w:rFonts w:hint="eastAsia" w:ascii="仿宋_GB2312" w:hAnsi="仿宋_GB2312" w:eastAsia="仿宋_GB2312" w:cs="仿宋_GB2312"/>
          <w:color w:val="auto"/>
          <w:kern w:val="0"/>
          <w:sz w:val="32"/>
          <w:szCs w:val="32"/>
          <w:lang w:val="en-US" w:eastAsia="zh-CN" w:bidi="ar"/>
        </w:rPr>
        <w:t>3</w:t>
      </w:r>
      <w:r>
        <w:rPr>
          <w:rFonts w:hint="eastAsia" w:ascii="仿宋_GB2312" w:hAnsi="仿宋_GB2312" w:eastAsia="仿宋_GB2312" w:cs="仿宋_GB2312"/>
          <w:color w:val="auto"/>
          <w:kern w:val="0"/>
          <w:sz w:val="32"/>
          <w:szCs w:val="32"/>
          <w:lang w:bidi="ar"/>
        </w:rPr>
        <w:t>.</w:t>
      </w:r>
      <w:r>
        <w:rPr>
          <w:rFonts w:hint="eastAsia" w:ascii="仿宋_GB2312" w:hAnsi="仿宋_GB2312" w:eastAsia="仿宋_GB2312" w:cs="仿宋_GB2312"/>
          <w:b/>
          <w:bCs/>
          <w:color w:val="auto"/>
          <w:kern w:val="0"/>
          <w:sz w:val="32"/>
          <w:szCs w:val="32"/>
          <w:lang w:bidi="ar"/>
        </w:rPr>
        <w:t>通信大数据行程卡显示14天内途径或到达中高风险地区人员（特别是有西安市、延安市、广州市、东莞市、南京市、桂林市、绍兴市、宁波市及北京通州旅居史人员），须持现居住地或住宿宾馆所在社区（村）外来人员备案登记表复印件或解除隔离证明；</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bCs/>
          <w:color w:val="auto"/>
          <w:sz w:val="27"/>
          <w:szCs w:val="27"/>
        </w:rPr>
      </w:pPr>
      <w:r>
        <w:rPr>
          <w:rFonts w:hint="eastAsia" w:ascii="仿宋_GB2312" w:hAnsi="仿宋_GB2312" w:eastAsia="仿宋_GB2312" w:cs="仿宋_GB2312"/>
          <w:bCs/>
          <w:color w:val="auto"/>
          <w:kern w:val="0"/>
          <w:sz w:val="32"/>
          <w:szCs w:val="32"/>
          <w:lang w:val="en-US" w:eastAsia="zh-CN" w:bidi="ar"/>
        </w:rPr>
        <w:t>4</w:t>
      </w:r>
      <w:r>
        <w:rPr>
          <w:rFonts w:hint="eastAsia" w:ascii="仿宋_GB2312" w:hAnsi="仿宋_GB2312" w:eastAsia="仿宋_GB2312" w:cs="仿宋_GB2312"/>
          <w:bCs/>
          <w:color w:val="auto"/>
          <w:kern w:val="0"/>
          <w:sz w:val="32"/>
          <w:szCs w:val="32"/>
          <w:lang w:bidi="ar"/>
        </w:rPr>
        <w:t>.纸质版</w:t>
      </w:r>
      <w:r>
        <w:rPr>
          <w:rFonts w:hint="eastAsia" w:ascii="仿宋_GB2312" w:hAnsi="仿宋_GB2312" w:eastAsia="仿宋_GB2312" w:cs="仿宋_GB2312"/>
          <w:bCs/>
          <w:color w:val="auto"/>
          <w:sz w:val="32"/>
          <w:szCs w:val="32"/>
        </w:rPr>
        <w:t>《个人承诺书》</w:t>
      </w:r>
      <w:r>
        <w:rPr>
          <w:rFonts w:hint="eastAsia" w:ascii="仿宋_GB2312" w:hAnsi="仿宋_GB2312" w:eastAsia="仿宋_GB2312" w:cs="仿宋_GB2312"/>
          <w:bCs/>
          <w:color w:val="auto"/>
          <w:kern w:val="0"/>
          <w:sz w:val="32"/>
          <w:szCs w:val="32"/>
          <w:lang w:bidi="ar"/>
        </w:rPr>
        <w:t>（附2）</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kern w:val="0"/>
          <w:sz w:val="32"/>
          <w:szCs w:val="32"/>
          <w:lang w:bidi="ar"/>
        </w:rPr>
        <w:t>应聘考生如有伪造、涂改、蓄意修改个人所学专业名称、毕业院校、学籍验证报告信息、疫情防控查验信息等相关材料的，一经发现将取消考试及录用资格。</w:t>
      </w:r>
    </w:p>
    <w:p>
      <w:pPr>
        <w:keepNext w:val="0"/>
        <w:keepLines w:val="0"/>
        <w:pageBreakBefore w:val="0"/>
        <w:kinsoku/>
        <w:wordWrap/>
        <w:overflowPunct/>
        <w:topLinePunct w:val="0"/>
        <w:autoSpaceDE/>
        <w:autoSpaceDN/>
        <w:bidi w:val="0"/>
        <w:adjustRightInd w:val="0"/>
        <w:snapToGrid w:val="0"/>
        <w:spacing w:line="600" w:lineRule="exact"/>
        <w:ind w:firstLine="640" w:firstLineChars="200"/>
        <w:outlineLvl w:val="0"/>
        <w:rPr>
          <w:rFonts w:hint="eastAsia" w:ascii="黑体" w:hAnsi="黑体" w:eastAsia="黑体" w:cs="仿宋"/>
          <w:bCs/>
          <w:sz w:val="32"/>
          <w:szCs w:val="32"/>
        </w:rPr>
      </w:pPr>
      <w:r>
        <w:rPr>
          <w:rFonts w:hint="eastAsia" w:ascii="黑体" w:hAnsi="黑体" w:eastAsia="黑体" w:cs="仿宋"/>
          <w:bCs/>
          <w:sz w:val="32"/>
          <w:szCs w:val="32"/>
        </w:rPr>
        <w:t>四、其它相关事项</w:t>
      </w:r>
    </w:p>
    <w:p>
      <w:pPr>
        <w:keepNext w:val="0"/>
        <w:keepLines w:val="0"/>
        <w:pageBreakBefore w:val="0"/>
        <w:widowControl/>
        <w:shd w:val="clear" w:color="auto" w:fill="FFFFFF"/>
        <w:kinsoku/>
        <w:wordWrap/>
        <w:overflowPunct/>
        <w:topLinePunct w:val="0"/>
        <w:autoSpaceDE/>
        <w:autoSpaceDN/>
        <w:bidi w:val="0"/>
        <w:adjustRightInd w:val="0"/>
        <w:snapToGrid w:val="0"/>
        <w:spacing w:line="600" w:lineRule="exact"/>
        <w:ind w:firstLine="640" w:firstLineChars="200"/>
        <w:textAlignment w:val="baseline"/>
        <w:rPr>
          <w:rFonts w:hint="eastAsia" w:ascii="楷体_GB2312" w:hAnsi="楷体_GB2312" w:eastAsia="楷体_GB2312" w:cs="楷体_GB2312"/>
          <w:color w:val="auto"/>
          <w:sz w:val="27"/>
          <w:szCs w:val="27"/>
          <w:lang w:eastAsia="zh-CN"/>
        </w:rPr>
      </w:pPr>
      <w:r>
        <w:rPr>
          <w:rFonts w:hint="eastAsia" w:ascii="楷体_GB2312" w:hAnsi="楷体_GB2312" w:eastAsia="楷体_GB2312" w:cs="楷体_GB2312"/>
          <w:color w:val="auto"/>
          <w:kern w:val="0"/>
          <w:sz w:val="32"/>
          <w:szCs w:val="32"/>
          <w:shd w:val="clear" w:color="auto" w:fill="FFFFFF"/>
          <w:lang w:bidi="ar"/>
        </w:rPr>
        <w:t>（一）</w:t>
      </w:r>
      <w:r>
        <w:rPr>
          <w:rFonts w:hint="eastAsia" w:ascii="楷体_GB2312" w:hAnsi="楷体_GB2312" w:eastAsia="楷体_GB2312" w:cs="楷体_GB2312"/>
          <w:color w:val="auto"/>
          <w:sz w:val="32"/>
          <w:szCs w:val="32"/>
        </w:rPr>
        <w:t>应聘考生的资格审查贯穿于招聘过程的各个环节，在任何环节发现学生信息不真实、不准确的，</w:t>
      </w:r>
      <w:r>
        <w:rPr>
          <w:rFonts w:hint="eastAsia" w:ascii="楷体_GB2312" w:hAnsi="楷体_GB2312" w:eastAsia="楷体_GB2312" w:cs="楷体_GB2312"/>
          <w:color w:val="auto"/>
          <w:kern w:val="0"/>
          <w:sz w:val="32"/>
          <w:szCs w:val="32"/>
          <w:shd w:val="clear" w:color="auto" w:fill="FFFFFF"/>
          <w:lang w:bidi="ar"/>
        </w:rPr>
        <w:t>公司将取消应聘考生的考试和录用资格</w:t>
      </w:r>
      <w:r>
        <w:rPr>
          <w:rFonts w:hint="eastAsia" w:ascii="楷体_GB2312" w:hAnsi="楷体_GB2312" w:eastAsia="楷体_GB2312" w:cs="楷体_GB2312"/>
          <w:color w:val="auto"/>
          <w:kern w:val="0"/>
          <w:sz w:val="32"/>
          <w:szCs w:val="32"/>
          <w:shd w:val="clear" w:color="auto" w:fill="FFFFFF"/>
          <w:lang w:eastAsia="zh-CN" w:bidi="ar"/>
        </w:rPr>
        <w:t>。</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rPr>
          <w:rFonts w:hint="eastAsia" w:ascii="楷体_GB2312" w:hAnsi="楷体_GB2312" w:eastAsia="楷体_GB2312" w:cs="楷体_GB2312"/>
          <w:color w:val="auto"/>
          <w:sz w:val="27"/>
          <w:szCs w:val="27"/>
        </w:rPr>
      </w:pPr>
      <w:r>
        <w:rPr>
          <w:rFonts w:hint="eastAsia" w:ascii="楷体_GB2312" w:hAnsi="楷体_GB2312" w:eastAsia="楷体_GB2312" w:cs="楷体_GB2312"/>
          <w:color w:val="auto"/>
          <w:kern w:val="0"/>
          <w:sz w:val="32"/>
          <w:szCs w:val="32"/>
          <w:lang w:bidi="ar"/>
        </w:rPr>
        <w:t>（二）招聘过程中，毕业生食宿请自行安排，费用自理。</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rPr>
          <w:rFonts w:hint="eastAsia" w:ascii="楷体_GB2312" w:hAnsi="楷体_GB2312" w:eastAsia="楷体_GB2312" w:cs="楷体_GB2312"/>
          <w:color w:val="auto"/>
          <w:sz w:val="27"/>
          <w:szCs w:val="27"/>
        </w:rPr>
      </w:pPr>
      <w:r>
        <w:rPr>
          <w:rFonts w:hint="eastAsia" w:ascii="楷体_GB2312" w:hAnsi="楷体_GB2312" w:eastAsia="楷体_GB2312" w:cs="楷体_GB2312"/>
          <w:color w:val="auto"/>
          <w:kern w:val="0"/>
          <w:sz w:val="32"/>
          <w:szCs w:val="32"/>
          <w:lang w:bidi="ar"/>
        </w:rPr>
        <w:t>（三）</w:t>
      </w:r>
      <w:r>
        <w:rPr>
          <w:rFonts w:hint="eastAsia" w:ascii="楷体_GB2312" w:hAnsi="楷体_GB2312" w:eastAsia="楷体_GB2312" w:cs="楷体_GB2312"/>
          <w:b/>
          <w:color w:val="auto"/>
          <w:kern w:val="0"/>
          <w:sz w:val="32"/>
          <w:szCs w:val="32"/>
          <w:lang w:bidi="ar"/>
        </w:rPr>
        <w:t>恕不接待未收到短信和招聘平台考试通知的人员参加资格审查及各阶段招聘考试（笔试、面试等）。未入围资格审查及各阶段招聘考试的人员，不再另行通知。</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rPr>
          <w:rFonts w:hint="eastAsia" w:ascii="楷体_GB2312" w:hAnsi="楷体_GB2312" w:eastAsia="楷体_GB2312" w:cs="楷体_GB2312"/>
          <w:color w:val="auto"/>
          <w:sz w:val="27"/>
          <w:szCs w:val="27"/>
        </w:rPr>
      </w:pPr>
      <w:r>
        <w:rPr>
          <w:rFonts w:hint="eastAsia" w:ascii="楷体_GB2312" w:hAnsi="楷体_GB2312" w:eastAsia="楷体_GB2312" w:cs="楷体_GB2312"/>
          <w:color w:val="auto"/>
          <w:kern w:val="0"/>
          <w:sz w:val="32"/>
          <w:szCs w:val="32"/>
          <w:lang w:bidi="ar"/>
        </w:rPr>
        <w:t>（四）国家电网有限公司人力资源招聘平台是我公司发布招聘有关信息的唯一合法平台。请有意应聘我公司的毕业生密切关注本网站相关信息。</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（五）现场资格审查咨询电话：0971-6191898</w:t>
      </w:r>
      <w:r>
        <w:rPr>
          <w:rFonts w:hint="eastAsia" w:ascii="楷体_GB2312" w:hAnsi="楷体_GB2312" w:eastAsia="楷体_GB2312" w:cs="楷体_GB2312"/>
          <w:b/>
          <w:bCs/>
          <w:color w:val="auto"/>
          <w:sz w:val="32"/>
          <w:szCs w:val="32"/>
        </w:rPr>
        <w:t>（该电话为临时借用电话，仅限于2021年12月31日至2022年1月1日资格审查时使用，其他时间请勿打扰）</w:t>
      </w:r>
      <w:r>
        <w:rPr>
          <w:rFonts w:hint="eastAsia" w:ascii="楷体_GB2312" w:hAnsi="楷体_GB2312" w:eastAsia="楷体_GB2312" w:cs="楷体_GB2312"/>
          <w:color w:val="auto"/>
          <w:sz w:val="32"/>
          <w:szCs w:val="32"/>
        </w:rPr>
        <w:t>。</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楷体_GB2312" w:hAnsi="楷体_GB2312" w:eastAsia="楷体_GB2312" w:cs="楷体_GB2312"/>
          <w:color w:val="auto"/>
          <w:sz w:val="32"/>
          <w:szCs w:val="32"/>
        </w:rPr>
      </w:pP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ascii="仿宋" w:hAnsi="仿宋" w:eastAsia="仿宋" w:cs="仿宋"/>
          <w:kern w:val="0"/>
          <w:sz w:val="32"/>
          <w:szCs w:val="32"/>
        </w:rPr>
      </w:pPr>
      <w:r>
        <w:rPr>
          <w:rFonts w:hint="eastAsia" w:ascii="仿宋" w:hAnsi="仿宋" w:eastAsia="仿宋" w:cs="仿宋"/>
          <w:sz w:val="32"/>
          <w:szCs w:val="32"/>
        </w:rPr>
        <w:t>附件：1.</w:t>
      </w:r>
      <w:r>
        <w:rPr>
          <w:rFonts w:hint="eastAsia" w:ascii="仿宋" w:hAnsi="仿宋" w:eastAsia="仿宋" w:cs="仿宋"/>
          <w:kern w:val="0"/>
          <w:sz w:val="32"/>
          <w:szCs w:val="32"/>
        </w:rPr>
        <w:t>疫情防控告知书</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ascii="仿宋" w:hAnsi="仿宋" w:eastAsia="仿宋" w:cs="仿宋"/>
          <w:bCs/>
          <w:kern w:val="0"/>
          <w:sz w:val="32"/>
          <w:szCs w:val="32"/>
        </w:rPr>
      </w:pPr>
      <w:r>
        <w:rPr>
          <w:rFonts w:hint="eastAsia" w:ascii="仿宋" w:hAnsi="仿宋" w:eastAsia="仿宋" w:cs="仿宋"/>
          <w:kern w:val="0"/>
          <w:sz w:val="32"/>
          <w:szCs w:val="32"/>
        </w:rPr>
        <w:t xml:space="preserve"> </w:t>
      </w:r>
      <w:r>
        <w:rPr>
          <w:rFonts w:ascii="仿宋" w:hAnsi="仿宋" w:eastAsia="仿宋" w:cs="仿宋"/>
          <w:kern w:val="0"/>
          <w:sz w:val="32"/>
          <w:szCs w:val="32"/>
        </w:rPr>
        <w:t xml:space="preserve">     2.</w:t>
      </w:r>
      <w:r>
        <w:rPr>
          <w:rFonts w:hint="eastAsia" w:ascii="仿宋" w:hAnsi="仿宋" w:eastAsia="仿宋" w:cs="仿宋"/>
          <w:bCs/>
          <w:kern w:val="0"/>
          <w:sz w:val="32"/>
          <w:szCs w:val="32"/>
        </w:rPr>
        <w:t>个人承诺书</w:t>
      </w:r>
    </w:p>
    <w:p>
      <w:pPr>
        <w:keepNext w:val="0"/>
        <w:keepLines w:val="0"/>
        <w:pageBreakBefore w:val="0"/>
        <w:kinsoku/>
        <w:wordWrap/>
        <w:overflowPunct/>
        <w:topLinePunct w:val="0"/>
        <w:autoSpaceDE/>
        <w:autoSpaceDN/>
        <w:bidi w:val="0"/>
        <w:adjustRightInd w:val="0"/>
        <w:snapToGrid w:val="0"/>
        <w:spacing w:line="600" w:lineRule="exact"/>
        <w:ind w:firstLine="1600" w:firstLineChars="500"/>
        <w:rPr>
          <w:rFonts w:hint="eastAsia" w:ascii="仿宋" w:hAnsi="仿宋" w:eastAsia="仿宋" w:cs="仿宋"/>
          <w:kern w:val="0"/>
          <w:sz w:val="32"/>
          <w:szCs w:val="32"/>
        </w:rPr>
      </w:pPr>
      <w:r>
        <w:rPr>
          <w:rFonts w:ascii="仿宋" w:hAnsi="仿宋" w:eastAsia="仿宋" w:cs="仿宋"/>
          <w:kern w:val="0"/>
          <w:sz w:val="32"/>
          <w:szCs w:val="32"/>
        </w:rPr>
        <w:t>3</w:t>
      </w:r>
      <w:r>
        <w:rPr>
          <w:rFonts w:hint="eastAsia" w:ascii="仿宋" w:hAnsi="仿宋" w:eastAsia="仿宋" w:cs="仿宋"/>
          <w:kern w:val="0"/>
          <w:sz w:val="32"/>
          <w:szCs w:val="32"/>
        </w:rPr>
        <w:t>.现场资格审查（领取准考证）地点示意图</w:t>
      </w:r>
    </w:p>
    <w:p>
      <w:pPr>
        <w:keepNext w:val="0"/>
        <w:keepLines w:val="0"/>
        <w:pageBreakBefore w:val="0"/>
        <w:kinsoku/>
        <w:wordWrap/>
        <w:overflowPunct/>
        <w:topLinePunct w:val="0"/>
        <w:autoSpaceDE/>
        <w:autoSpaceDN/>
        <w:bidi w:val="0"/>
        <w:adjustRightInd w:val="0"/>
        <w:snapToGrid w:val="0"/>
        <w:spacing w:line="600" w:lineRule="exact"/>
        <w:ind w:firstLine="640" w:firstLineChars="200"/>
        <w:jc w:val="center"/>
        <w:rPr>
          <w:rFonts w:ascii="仿宋" w:hAnsi="仿宋" w:eastAsia="仿宋" w:cs="仿宋"/>
          <w:bCs/>
          <w:sz w:val="32"/>
          <w:szCs w:val="32"/>
        </w:rPr>
      </w:pPr>
      <w:r>
        <w:rPr>
          <w:rFonts w:hint="eastAsia" w:ascii="仿宋" w:hAnsi="仿宋" w:eastAsia="仿宋" w:cs="仿宋"/>
          <w:bCs/>
          <w:sz w:val="32"/>
          <w:szCs w:val="32"/>
        </w:rPr>
        <w:t xml:space="preserve">                     </w:t>
      </w:r>
    </w:p>
    <w:p>
      <w:pPr>
        <w:keepNext w:val="0"/>
        <w:keepLines w:val="0"/>
        <w:pageBreakBefore w:val="0"/>
        <w:kinsoku/>
        <w:wordWrap/>
        <w:overflowPunct/>
        <w:topLinePunct w:val="0"/>
        <w:autoSpaceDE/>
        <w:autoSpaceDN/>
        <w:bidi w:val="0"/>
        <w:adjustRightInd w:val="0"/>
        <w:snapToGrid w:val="0"/>
        <w:spacing w:line="600" w:lineRule="exact"/>
        <w:ind w:firstLine="640" w:firstLineChars="200"/>
        <w:jc w:val="center"/>
        <w:rPr>
          <w:rFonts w:hint="eastAsia" w:ascii="仿宋" w:hAnsi="仿宋" w:eastAsia="仿宋" w:cs="仿宋"/>
          <w:b/>
          <w:sz w:val="32"/>
          <w:szCs w:val="32"/>
        </w:rPr>
      </w:pPr>
      <w:r>
        <w:rPr>
          <w:rFonts w:hint="eastAsia" w:ascii="仿宋" w:hAnsi="仿宋" w:eastAsia="仿宋" w:cs="仿宋"/>
          <w:bCs/>
          <w:sz w:val="32"/>
          <w:szCs w:val="32"/>
          <w:lang w:val="en-US" w:eastAsia="zh-CN"/>
        </w:rPr>
        <w:t xml:space="preserve">         </w:t>
      </w:r>
    </w:p>
    <w:p>
      <w:pPr>
        <w:keepNext w:val="0"/>
        <w:keepLines w:val="0"/>
        <w:pageBreakBefore w:val="0"/>
        <w:kinsoku/>
        <w:wordWrap/>
        <w:overflowPunct/>
        <w:topLinePunct w:val="0"/>
        <w:autoSpaceDE/>
        <w:autoSpaceDN/>
        <w:bidi w:val="0"/>
        <w:adjustRightInd w:val="0"/>
        <w:snapToGrid w:val="0"/>
        <w:spacing w:line="600" w:lineRule="exact"/>
        <w:rPr>
          <w:rFonts w:hint="eastAsia" w:ascii="仿宋" w:hAnsi="仿宋" w:eastAsia="仿宋" w:cs="Times New Roman"/>
          <w:sz w:val="32"/>
          <w:szCs w:val="24"/>
        </w:rPr>
      </w:pPr>
      <w:r>
        <w:rPr>
          <w:rFonts w:ascii="仿宋" w:hAnsi="仿宋" w:eastAsia="仿宋" w:cs="Times New Roman"/>
          <w:sz w:val="32"/>
          <w:szCs w:val="24"/>
        </w:rPr>
        <w:br w:type="page"/>
      </w:r>
      <w:r>
        <w:rPr>
          <w:rFonts w:hint="eastAsia" w:ascii="仿宋" w:hAnsi="仿宋" w:eastAsia="仿宋" w:cs="Times New Roman"/>
          <w:sz w:val="32"/>
          <w:szCs w:val="24"/>
        </w:rPr>
        <w:t>附</w:t>
      </w:r>
      <w:r>
        <w:rPr>
          <w:rFonts w:ascii="仿宋" w:hAnsi="仿宋" w:eastAsia="仿宋" w:cs="Times New Roman"/>
          <w:sz w:val="32"/>
          <w:szCs w:val="24"/>
        </w:rPr>
        <w:t>1</w:t>
      </w:r>
    </w:p>
    <w:p>
      <w:pPr>
        <w:keepNext w:val="0"/>
        <w:keepLines w:val="0"/>
        <w:pageBreakBefore w:val="0"/>
        <w:kinsoku/>
        <w:wordWrap/>
        <w:overflowPunct/>
        <w:topLinePunct w:val="0"/>
        <w:autoSpaceDE/>
        <w:autoSpaceDN/>
        <w:bidi w:val="0"/>
        <w:adjustRightInd w:val="0"/>
        <w:snapToGrid w:val="0"/>
        <w:spacing w:line="600" w:lineRule="exact"/>
        <w:jc w:val="center"/>
        <w:rPr>
          <w:rFonts w:hint="eastAsia" w:ascii="方正小标宋简体" w:hAnsi="方正小标宋简体" w:eastAsia="方正小标宋简体" w:cs="方正小标宋简体"/>
          <w:spacing w:val="-17"/>
          <w:sz w:val="44"/>
          <w:szCs w:val="44"/>
        </w:rPr>
      </w:pPr>
      <w:r>
        <w:rPr>
          <w:rFonts w:hint="eastAsia" w:ascii="方正小标宋简体" w:hAnsi="方正小标宋简体" w:eastAsia="方正小标宋简体" w:cs="方正小标宋简体"/>
          <w:spacing w:val="-17"/>
          <w:sz w:val="44"/>
          <w:szCs w:val="44"/>
        </w:rPr>
        <w:t>疫情防控告知书</w:t>
      </w:r>
    </w:p>
    <w:p>
      <w:pPr>
        <w:keepNext w:val="0"/>
        <w:keepLines w:val="0"/>
        <w:pageBreakBefore w:val="0"/>
        <w:kinsoku/>
        <w:wordWrap/>
        <w:overflowPunct/>
        <w:topLinePunct w:val="0"/>
        <w:autoSpaceDE/>
        <w:autoSpaceDN/>
        <w:bidi w:val="0"/>
        <w:adjustRightInd w:val="0"/>
        <w:snapToGrid w:val="0"/>
        <w:spacing w:line="600" w:lineRule="exact"/>
        <w:ind w:firstLine="640" w:firstLineChars="200"/>
        <w:jc w:val="center"/>
        <w:rPr>
          <w:rFonts w:hint="eastAsia" w:ascii="华文中宋" w:hAnsi="华文中宋" w:eastAsia="华文中宋" w:cs="Times New Roman"/>
          <w:sz w:val="32"/>
          <w:szCs w:val="32"/>
        </w:rPr>
      </w:pP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全面贯彻落实疫情防控工作各项决策部署，做好2022年第一批高校毕业生招聘考试期间考场疫情防控及考务组织工作，建立健全考场疫情防控应急处置机制，有效预防、及时管控和妥善处置考试期间突发事件，确保考试工作安全顺利、平稳有序开展，结合青海省西宁市疫情防控工作相关要求，考生进入考点时须满足以下条件，方可按计划安排参加资格审查和考试。具体如下：</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ascii="黑体" w:hAnsi="黑体" w:eastAsia="黑体" w:cs="仿宋_GB2312"/>
          <w:sz w:val="32"/>
          <w:szCs w:val="20"/>
        </w:rPr>
      </w:pPr>
      <w:r>
        <w:rPr>
          <w:rFonts w:hint="eastAsia" w:ascii="黑体" w:hAnsi="黑体" w:eastAsia="黑体" w:cs="仿宋_GB2312"/>
          <w:sz w:val="32"/>
          <w:szCs w:val="20"/>
        </w:rPr>
        <w:t>一、考前须知</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20"/>
        </w:rPr>
        <w:t>考生须严格遵守国家和青海省西宁市疫情防控有关规定，自觉做好个人卫生防护和健康管理，避免不必要外出、聚集和人员接触，不到人群拥挤、通风不好的场所，不到疫情中高风险地区。考生须根据本人身份证号码和在</w:t>
      </w:r>
      <w:r>
        <w:rPr>
          <w:rFonts w:hint="eastAsia" w:ascii="仿宋_GB2312" w:hAnsi="仿宋_GB2312" w:eastAsia="仿宋_GB2312" w:cs="仿宋_GB2312"/>
          <w:bCs/>
          <w:kern w:val="0"/>
          <w:sz w:val="32"/>
          <w:szCs w:val="32"/>
        </w:rPr>
        <w:t>国家电网有限公司人力资源招聘平台登记的手机号码，提</w:t>
      </w:r>
      <w:r>
        <w:rPr>
          <w:rFonts w:hint="eastAsia" w:ascii="仿宋_GB2312" w:hAnsi="仿宋_GB2312" w:eastAsia="仿宋_GB2312" w:cs="仿宋_GB2312"/>
          <w:sz w:val="32"/>
          <w:szCs w:val="20"/>
        </w:rPr>
        <w:t>前申领“青海健康码”、“通信大数据行程卡”，</w:t>
      </w:r>
      <w:r>
        <w:rPr>
          <w:rFonts w:hint="eastAsia" w:ascii="仿宋_GB2312" w:hAnsi="仿宋_GB2312" w:eastAsia="仿宋_GB2312" w:cs="仿宋_GB2312"/>
          <w:sz w:val="32"/>
          <w:szCs w:val="32"/>
        </w:rPr>
        <w:t>登录“国家政务服务平台”（微信小程序）进行同行密接人员自查</w:t>
      </w:r>
      <w:r>
        <w:rPr>
          <w:rFonts w:hint="eastAsia" w:ascii="仿宋_GB2312" w:hAnsi="仿宋_GB2312" w:eastAsia="仿宋_GB2312" w:cs="仿宋_GB2312"/>
          <w:sz w:val="32"/>
          <w:szCs w:val="20"/>
        </w:rPr>
        <w:t>， 48小时内核酸检测阴性证明，同时做好考前健康监测。</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ascii="黑体" w:hAnsi="黑体" w:eastAsia="黑体" w:cs="仿宋_GB2312"/>
          <w:sz w:val="32"/>
          <w:szCs w:val="20"/>
        </w:rPr>
      </w:pPr>
      <w:r>
        <w:rPr>
          <w:rFonts w:hint="eastAsia" w:ascii="黑体" w:hAnsi="黑体" w:eastAsia="黑体" w:cs="仿宋_GB2312"/>
          <w:sz w:val="32"/>
          <w:szCs w:val="20"/>
        </w:rPr>
        <w:t>二、进入考点必需条件</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20"/>
        </w:rPr>
      </w:pPr>
      <w:r>
        <w:rPr>
          <w:rFonts w:hint="eastAsia" w:ascii="仿宋_GB2312" w:hAnsi="仿宋_GB2312" w:eastAsia="仿宋_GB2312" w:cs="仿宋_GB2312"/>
          <w:sz w:val="32"/>
          <w:szCs w:val="20"/>
        </w:rPr>
        <w:t>考生进入考点须同时满足以下条件：</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20"/>
        </w:rPr>
      </w:pPr>
      <w:r>
        <w:rPr>
          <w:rFonts w:hint="eastAsia" w:ascii="仿宋_GB2312" w:hAnsi="仿宋_GB2312" w:eastAsia="仿宋_GB2312" w:cs="仿宋_GB2312"/>
          <w:sz w:val="32"/>
          <w:szCs w:val="20"/>
        </w:rPr>
        <w:t>1.“青海健康码”和“通信大数据行程卡”均为绿码，</w:t>
      </w:r>
      <w:r>
        <w:rPr>
          <w:rFonts w:hint="eastAsia" w:ascii="仿宋_GB2312" w:hAnsi="仿宋_GB2312" w:eastAsia="仿宋_GB2312" w:cs="仿宋_GB2312"/>
          <w:sz w:val="32"/>
          <w:szCs w:val="32"/>
        </w:rPr>
        <w:t>同行密接人员自查显示“安全”，</w:t>
      </w:r>
      <w:r>
        <w:rPr>
          <w:rFonts w:hint="eastAsia" w:ascii="仿宋_GB2312" w:hAnsi="仿宋_GB2312" w:eastAsia="仿宋_GB2312" w:cs="仿宋_GB2312"/>
          <w:sz w:val="32"/>
          <w:szCs w:val="20"/>
        </w:rPr>
        <w:t>且健康状况正常，现场测量体温正常（低于37.3℃）；</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20"/>
        </w:rPr>
      </w:pPr>
      <w:r>
        <w:rPr>
          <w:rFonts w:hint="eastAsia" w:ascii="仿宋_GB2312" w:hAnsi="仿宋_GB2312" w:eastAsia="仿宋_GB2312" w:cs="仿宋_GB2312"/>
          <w:sz w:val="32"/>
          <w:szCs w:val="20"/>
        </w:rPr>
        <w:t>2.进入考点前21天内无国（境）外旅居史；</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20"/>
        </w:rPr>
      </w:pPr>
      <w:r>
        <w:rPr>
          <w:rFonts w:hint="eastAsia" w:ascii="仿宋_GB2312" w:hAnsi="仿宋_GB2312" w:eastAsia="仿宋_GB2312" w:cs="仿宋_GB2312"/>
          <w:sz w:val="32"/>
          <w:szCs w:val="20"/>
        </w:rPr>
        <w:t>3.进入考点前14天内无国内疫情中高风险地区所在县（区、市）或出现阳性感染者的县（区、市）旅居史；进入考点前14天内无国内疫情中高风险地区旅居史；</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20"/>
        </w:rPr>
      </w:pPr>
      <w:r>
        <w:rPr>
          <w:rFonts w:hint="eastAsia" w:ascii="仿宋_GB2312" w:hAnsi="仿宋_GB2312" w:eastAsia="仿宋_GB2312" w:cs="仿宋_GB2312"/>
          <w:sz w:val="32"/>
          <w:szCs w:val="20"/>
        </w:rPr>
        <w:t>4.进入考点前21天内未与新冠肺炎确诊病例、疑似病例、无症状感染者及上述3类人员的密接或次密接存在密切接触史；</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20"/>
        </w:rPr>
      </w:pPr>
      <w:r>
        <w:rPr>
          <w:rFonts w:hint="eastAsia" w:ascii="仿宋_GB2312" w:hAnsi="仿宋_GB2312" w:eastAsia="仿宋_GB2312" w:cs="仿宋_GB2312"/>
          <w:sz w:val="32"/>
          <w:szCs w:val="20"/>
        </w:rPr>
        <w:t>6.进入考点前持48小时内核酸检测阴性证明、青海健康码绿码截图、通信大数据行程卡绿码截图和密接码截图复印件，（复印件右下角填写姓名、身份证号及联系电话）,以及本人签字的《个人承诺书》（附2）。核酸检测有效期从采样时间开始计算，48小时内核酸检测计算时间,第一次：2021年12月29日（含29日）至31日（资格审查），第二次：2021年12月31日（含31日）至2022年1月2日（笔试）。</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ascii="黑体" w:hAnsi="黑体" w:eastAsia="黑体" w:cs="仿宋_GB2312"/>
          <w:sz w:val="32"/>
          <w:szCs w:val="20"/>
        </w:rPr>
      </w:pPr>
      <w:r>
        <w:rPr>
          <w:rFonts w:hint="eastAsia" w:ascii="黑体" w:hAnsi="黑体" w:eastAsia="黑体" w:cs="仿宋_GB2312"/>
          <w:sz w:val="32"/>
          <w:szCs w:val="20"/>
        </w:rPr>
        <w:t>三、进入考点后管理要求</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20"/>
        </w:rPr>
      </w:pPr>
      <w:r>
        <w:rPr>
          <w:rFonts w:hint="eastAsia" w:ascii="仿宋_GB2312" w:hAnsi="仿宋_GB2312" w:eastAsia="仿宋_GB2312" w:cs="仿宋_GB2312"/>
          <w:sz w:val="32"/>
          <w:szCs w:val="20"/>
        </w:rPr>
        <w:t>1.考生进入考点后需全程佩戴口罩，听从现场工作人员安排有序行动，注意保持社交距离，不扎堆、不驻留。工作人员进行身份核查时，须取下口罩主动配合检查。</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20"/>
        </w:rPr>
      </w:pPr>
      <w:r>
        <w:rPr>
          <w:rFonts w:hint="eastAsia" w:ascii="仿宋_GB2312" w:hAnsi="仿宋_GB2312" w:eastAsia="仿宋_GB2312" w:cs="仿宋_GB2312"/>
          <w:sz w:val="32"/>
          <w:szCs w:val="20"/>
        </w:rPr>
        <w:t>2.若考生在进入考点或考试过程中出现发热（超过37.3℃）、干咳、乏力、鼻塞、流涕、咽痛、嗅（味）觉减退、腹泻等不适症状，应立即向考点工作人员报告，听从工作人员的安排。</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黑体" w:hAnsi="黑体" w:eastAsia="黑体" w:cs="仿宋_GB2312"/>
          <w:sz w:val="32"/>
          <w:szCs w:val="20"/>
        </w:rPr>
      </w:pPr>
      <w:r>
        <w:rPr>
          <w:rFonts w:hint="eastAsia" w:ascii="黑体" w:hAnsi="黑体" w:eastAsia="黑体" w:cs="仿宋_GB2312"/>
          <w:sz w:val="32"/>
          <w:szCs w:val="20"/>
        </w:rPr>
        <w:t>四、其他注意事项</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20"/>
        </w:rPr>
      </w:pPr>
      <w:r>
        <w:rPr>
          <w:rFonts w:hint="eastAsia" w:ascii="仿宋_GB2312" w:hAnsi="仿宋_GB2312" w:eastAsia="仿宋_GB2312" w:cs="仿宋_GB2312"/>
          <w:sz w:val="32"/>
          <w:szCs w:val="20"/>
        </w:rPr>
        <w:t>1.考生对个人身体健康情况的真实性负责。凡隐瞒或谎报旅居史、接触史、健康状况等疫情防控重点信息的，不配合工作人员进行防疫检测、询问、排查、送诊等造成严重后果的，取消考试资格和录用资格，并按照疫情防控相关法律法规追究责任。</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20"/>
        </w:rPr>
        <w:t>2.根据疫情防控形势及有关政策要求，如上述内容发生变化将另行公告。请密切关注</w:t>
      </w:r>
      <w:r>
        <w:rPr>
          <w:rFonts w:hint="eastAsia" w:ascii="仿宋_GB2312" w:hAnsi="仿宋_GB2312" w:eastAsia="仿宋_GB2312" w:cs="仿宋_GB2312"/>
          <w:bCs/>
          <w:kern w:val="0"/>
          <w:sz w:val="32"/>
          <w:szCs w:val="32"/>
        </w:rPr>
        <w:t>国家电网有限公司人力资源招聘平台发布的</w:t>
      </w:r>
      <w:r>
        <w:rPr>
          <w:rFonts w:hint="eastAsia" w:ascii="仿宋_GB2312" w:hAnsi="仿宋_GB2312" w:eastAsia="仿宋_GB2312" w:cs="仿宋_GB2312"/>
          <w:sz w:val="32"/>
          <w:szCs w:val="20"/>
        </w:rPr>
        <w:t>相关信息。</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20"/>
        </w:rPr>
      </w:pPr>
      <w:r>
        <w:rPr>
          <w:rFonts w:hint="eastAsia" w:ascii="仿宋_GB2312" w:hAnsi="仿宋_GB2312" w:eastAsia="仿宋_GB2312" w:cs="仿宋_GB2312"/>
          <w:sz w:val="32"/>
          <w:szCs w:val="20"/>
        </w:rPr>
        <w:t>以上内容随青海省西宁市疫情防控政策动态调整。</w:t>
      </w:r>
    </w:p>
    <w:p>
      <w:pPr>
        <w:keepNext w:val="0"/>
        <w:keepLines w:val="0"/>
        <w:pageBreakBefore w:val="0"/>
        <w:kinsoku/>
        <w:wordWrap/>
        <w:overflowPunct/>
        <w:topLinePunct w:val="0"/>
        <w:autoSpaceDE/>
        <w:autoSpaceDN/>
        <w:bidi w:val="0"/>
        <w:adjustRightInd w:val="0"/>
        <w:snapToGrid w:val="0"/>
        <w:spacing w:line="600" w:lineRule="exact"/>
        <w:ind w:firstLine="643" w:firstLineChars="200"/>
        <w:rPr>
          <w:rFonts w:hint="eastAsia" w:ascii="仿宋_GB2312" w:hAnsi="Times New Roman" w:eastAsia="仿宋_GB2312" w:cs="Times New Roman"/>
          <w:b/>
          <w:bCs/>
          <w:sz w:val="32"/>
          <w:szCs w:val="32"/>
        </w:rPr>
      </w:pPr>
    </w:p>
    <w:p>
      <w:pPr>
        <w:keepNext w:val="0"/>
        <w:keepLines w:val="0"/>
        <w:pageBreakBefore w:val="0"/>
        <w:kinsoku/>
        <w:wordWrap/>
        <w:overflowPunct/>
        <w:topLinePunct w:val="0"/>
        <w:autoSpaceDE/>
        <w:autoSpaceDN/>
        <w:bidi w:val="0"/>
        <w:adjustRightInd w:val="0"/>
        <w:snapToGrid w:val="0"/>
        <w:spacing w:line="600" w:lineRule="exact"/>
        <w:rPr>
          <w:rFonts w:ascii="仿宋" w:hAnsi="仿宋" w:eastAsia="仿宋" w:cs="FZXBSJW--GB1-0"/>
          <w:bCs/>
          <w:kern w:val="0"/>
          <w:sz w:val="32"/>
          <w:szCs w:val="32"/>
        </w:rPr>
      </w:pPr>
      <w:r>
        <w:rPr>
          <w:rFonts w:ascii="仿宋_GB2312" w:hAnsi="Times New Roman" w:eastAsia="仿宋_GB2312" w:cs="Times New Roman"/>
          <w:b/>
          <w:bCs/>
          <w:sz w:val="32"/>
          <w:szCs w:val="32"/>
        </w:rPr>
        <w:br w:type="page"/>
      </w:r>
      <w:r>
        <w:rPr>
          <w:rFonts w:hint="eastAsia" w:ascii="仿宋" w:hAnsi="仿宋" w:eastAsia="仿宋" w:cs="FZXBSJW--GB1-0"/>
          <w:bCs/>
          <w:kern w:val="0"/>
          <w:sz w:val="32"/>
          <w:szCs w:val="32"/>
        </w:rPr>
        <w:t>附2</w:t>
      </w:r>
    </w:p>
    <w:p>
      <w:pPr>
        <w:keepNext w:val="0"/>
        <w:keepLines w:val="0"/>
        <w:pageBreakBefore w:val="0"/>
        <w:kinsoku/>
        <w:wordWrap/>
        <w:overflowPunct/>
        <w:topLinePunct w:val="0"/>
        <w:autoSpaceDE/>
        <w:autoSpaceDN/>
        <w:bidi w:val="0"/>
        <w:adjustRightInd w:val="0"/>
        <w:snapToGrid w:val="0"/>
        <w:spacing w:line="600" w:lineRule="exact"/>
        <w:jc w:val="center"/>
        <w:rPr>
          <w:rFonts w:ascii="华文中宋" w:hAnsi="华文中宋" w:eastAsia="华文中宋" w:cs="FZXBSJW--GB1-0"/>
          <w:bCs/>
          <w:kern w:val="0"/>
          <w:sz w:val="44"/>
          <w:szCs w:val="44"/>
        </w:rPr>
      </w:pPr>
      <w:r>
        <w:rPr>
          <w:rFonts w:hint="eastAsia" w:ascii="方正小标宋简体" w:hAnsi="方正小标宋简体" w:eastAsia="方正小标宋简体" w:cs="方正小标宋简体"/>
          <w:bCs/>
          <w:kern w:val="0"/>
          <w:sz w:val="44"/>
          <w:szCs w:val="44"/>
        </w:rPr>
        <w:t>个人承诺书</w:t>
      </w:r>
    </w:p>
    <w:p>
      <w:pPr>
        <w:keepNext w:val="0"/>
        <w:keepLines w:val="0"/>
        <w:pageBreakBefore w:val="0"/>
        <w:kinsoku/>
        <w:wordWrap/>
        <w:overflowPunct/>
        <w:topLinePunct w:val="0"/>
        <w:autoSpaceDE/>
        <w:autoSpaceDN/>
        <w:bidi w:val="0"/>
        <w:adjustRightInd w:val="0"/>
        <w:snapToGrid w:val="0"/>
        <w:spacing w:line="600" w:lineRule="exact"/>
        <w:jc w:val="center"/>
        <w:rPr>
          <w:rFonts w:hint="eastAsia" w:ascii="华文中宋" w:hAnsi="华文中宋" w:eastAsia="华文中宋" w:cs="FZXBSJW--GB1-0"/>
          <w:bCs/>
          <w:kern w:val="0"/>
          <w:sz w:val="44"/>
          <w:szCs w:val="44"/>
        </w:rPr>
      </w:pP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1.本人按照考点所在地疫情防控要求，做好考前健康监测，体温正常，没有出现过发热（体温≥37.3℃）、干咳、乏力、咽痛、嗅（味）觉减退、腹泻等症状。</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2.进入考点前21天内无国（境）外旅居史；进入考点前14天内无国内疫情中高风险地区所在县（区、市）或出现阳性感染者的县（区、市）旅居史；进入考点前21天内未与新冠肺炎确诊病例、疑似病例、无症状感染者及上述3类人员的密接或次密接存在密切接触史。</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3.充分理解并遵守考试期间考点各项防疫安全要求。</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4.考试期间自行做好防护工作，提前抵达考点。</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5.考试过程中如出现咳嗽、发热等身体不适情况，本人自愿放弃考试，并遵守考试工作人员安排离场。</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6.本人尊重国家电网有限公司对高校毕业生招聘笔试试卷的知识产权，考试结束后，不讨论、不对外泄露考试题目。若违反承诺，本人自愿放弃应聘资格，并承担一切责任。</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7.本人已认真仔细阅读《疫情防控告知书》，知悉告知事项、证明义务、防疫要求和承诺内容。本人填报、提交和现场出示的所有信息（证明）均真实、准确、完整、有效，并保证配合做好疫情防控相关工作。如隐瞒病情、旅居史及接触史等，或在招聘考试各环节拒不配合疫情防控相关工作，本人自愿承担取消考试资格等一切后果，自愿接受由此带来的全部法律责任。</w:t>
      </w:r>
    </w:p>
    <w:p>
      <w:pPr>
        <w:keepNext w:val="0"/>
        <w:keepLines w:val="0"/>
        <w:pageBreakBefore w:val="0"/>
        <w:kinsoku/>
        <w:wordWrap/>
        <w:overflowPunct/>
        <w:topLinePunct w:val="0"/>
        <w:autoSpaceDE/>
        <w:autoSpaceDN/>
        <w:bidi w:val="0"/>
        <w:adjustRightInd w:val="0"/>
        <w:snapToGrid w:val="0"/>
        <w:spacing w:line="600" w:lineRule="exact"/>
        <w:ind w:firstLine="2880" w:firstLineChars="900"/>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val="0"/>
        <w:snapToGrid w:val="0"/>
        <w:spacing w:line="600" w:lineRule="exact"/>
        <w:ind w:firstLine="4800" w:firstLineChars="15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 诺 人：</w:t>
      </w:r>
    </w:p>
    <w:p>
      <w:pPr>
        <w:keepNext w:val="0"/>
        <w:keepLines w:val="0"/>
        <w:pageBreakBefore w:val="0"/>
        <w:kinsoku/>
        <w:wordWrap/>
        <w:overflowPunct/>
        <w:topLinePunct w:val="0"/>
        <w:autoSpaceDE/>
        <w:autoSpaceDN/>
        <w:bidi w:val="0"/>
        <w:adjustRightInd w:val="0"/>
        <w:snapToGrid w:val="0"/>
        <w:spacing w:line="600" w:lineRule="exact"/>
        <w:ind w:firstLine="4800" w:firstLineChars="15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身份证号：</w:t>
      </w:r>
    </w:p>
    <w:p>
      <w:pPr>
        <w:keepNext w:val="0"/>
        <w:keepLines w:val="0"/>
        <w:pageBreakBefore w:val="0"/>
        <w:kinsoku/>
        <w:wordWrap/>
        <w:overflowPunct/>
        <w:topLinePunct w:val="0"/>
        <w:autoSpaceDE/>
        <w:autoSpaceDN/>
        <w:bidi w:val="0"/>
        <w:adjustRightInd w:val="0"/>
        <w:snapToGrid w:val="0"/>
        <w:spacing w:line="600" w:lineRule="exact"/>
        <w:ind w:firstLine="4800" w:firstLineChars="15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pPr>
        <w:keepNext w:val="0"/>
        <w:keepLines w:val="0"/>
        <w:pageBreakBefore w:val="0"/>
        <w:kinsoku/>
        <w:wordWrap/>
        <w:overflowPunct/>
        <w:topLinePunct w:val="0"/>
        <w:autoSpaceDE/>
        <w:autoSpaceDN/>
        <w:bidi w:val="0"/>
        <w:adjustRightInd w:val="0"/>
        <w:snapToGrid w:val="0"/>
        <w:spacing w:line="600" w:lineRule="exact"/>
        <w:ind w:firstLine="640" w:firstLineChars="200"/>
        <w:jc w:val="center"/>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年   月   日</w:t>
      </w:r>
    </w:p>
    <w:p>
      <w:pPr>
        <w:keepNext w:val="0"/>
        <w:keepLines w:val="0"/>
        <w:pageBreakBefore w:val="0"/>
        <w:kinsoku/>
        <w:wordWrap/>
        <w:overflowPunct/>
        <w:topLinePunct w:val="0"/>
        <w:autoSpaceDE/>
        <w:autoSpaceDN/>
        <w:bidi w:val="0"/>
        <w:adjustRightInd w:val="0"/>
        <w:snapToGrid w:val="0"/>
        <w:spacing w:line="600" w:lineRule="exact"/>
        <w:rPr>
          <w:rFonts w:ascii="仿宋" w:hAnsi="仿宋" w:eastAsia="仿宋" w:cs="仿宋"/>
          <w:sz w:val="32"/>
          <w:szCs w:val="32"/>
        </w:rPr>
      </w:pPr>
    </w:p>
    <w:p>
      <w:pPr>
        <w:keepNext w:val="0"/>
        <w:keepLines w:val="0"/>
        <w:pageBreakBefore w:val="0"/>
        <w:widowControl/>
        <w:kinsoku/>
        <w:wordWrap/>
        <w:overflowPunct/>
        <w:topLinePunct w:val="0"/>
        <w:autoSpaceDE/>
        <w:autoSpaceDN/>
        <w:bidi w:val="0"/>
        <w:adjustRightInd w:val="0"/>
        <w:snapToGrid w:val="0"/>
        <w:spacing w:line="600" w:lineRule="exact"/>
        <w:jc w:val="left"/>
        <w:rPr>
          <w:rFonts w:ascii="方正仿宋_GBK" w:eastAsia="方正仿宋_GBK"/>
          <w:sz w:val="32"/>
          <w:szCs w:val="32"/>
        </w:rPr>
      </w:pPr>
      <w:r>
        <w:rPr>
          <w:rFonts w:ascii="方正仿宋_GBK" w:eastAsia="方正仿宋_GBK"/>
          <w:sz w:val="32"/>
          <w:szCs w:val="32"/>
        </w:rPr>
        <w:br w:type="page"/>
      </w:r>
    </w:p>
    <w:p>
      <w:pPr>
        <w:keepNext w:val="0"/>
        <w:keepLines w:val="0"/>
        <w:pageBreakBefore w:val="0"/>
        <w:kinsoku/>
        <w:wordWrap/>
        <w:overflowPunct/>
        <w:topLinePunct w:val="0"/>
        <w:autoSpaceDE/>
        <w:autoSpaceDN/>
        <w:bidi w:val="0"/>
        <w:adjustRightInd w:val="0"/>
        <w:snapToGrid w:val="0"/>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w:t>
      </w:r>
      <w:r>
        <w:rPr>
          <w:rFonts w:hint="eastAsia" w:ascii="仿宋_GB2312" w:hAnsi="仿宋_GB2312" w:eastAsia="仿宋_GB2312" w:cs="仿宋_GB2312"/>
          <w:sz w:val="32"/>
          <w:szCs w:val="32"/>
        </w:rPr>
        <w:drawing>
          <wp:anchor distT="0" distB="0" distL="114300" distR="114300" simplePos="0" relativeHeight="251659264" behindDoc="0" locked="0" layoutInCell="1" allowOverlap="1">
            <wp:simplePos x="0" y="0"/>
            <wp:positionH relativeFrom="column">
              <wp:posOffset>285750</wp:posOffset>
            </wp:positionH>
            <wp:positionV relativeFrom="paragraph">
              <wp:posOffset>1568450</wp:posOffset>
            </wp:positionV>
            <wp:extent cx="5274310" cy="2823845"/>
            <wp:effectExtent l="0" t="0" r="254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5274310" cy="2823845"/>
                    </a:xfrm>
                    <a:prstGeom prst="rect">
                      <a:avLst/>
                    </a:prstGeom>
                    <a:noFill/>
                    <a:ln>
                      <a:noFill/>
                    </a:ln>
                  </pic:spPr>
                </pic:pic>
              </a:graphicData>
            </a:graphic>
          </wp:anchor>
        </w:drawing>
      </w:r>
      <w:r>
        <w:rPr>
          <w:rFonts w:hint="eastAsia" w:ascii="仿宋_GB2312" w:hAnsi="仿宋_GB2312" w:eastAsia="仿宋_GB2312" w:cs="仿宋_GB2312"/>
          <w:sz w:val="32"/>
          <w:szCs w:val="32"/>
        </w:rPr>
        <w:t>3</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FZXBSJW--GB1-0">
    <w:altName w:val="宋体"/>
    <w:panose1 w:val="00000000000000000000"/>
    <w:charset w:val="86"/>
    <w:family w:val="auto"/>
    <w:pitch w:val="default"/>
    <w:sig w:usb0="00000000" w:usb1="00000000" w:usb2="0000001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91511"/>
    <w:multiLevelType w:val="multilevel"/>
    <w:tmpl w:val="03F91511"/>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E02"/>
    <w:rsid w:val="00145369"/>
    <w:rsid w:val="00173FAC"/>
    <w:rsid w:val="00237E4F"/>
    <w:rsid w:val="005610F0"/>
    <w:rsid w:val="0061618B"/>
    <w:rsid w:val="006861C8"/>
    <w:rsid w:val="00731BAC"/>
    <w:rsid w:val="00812DAA"/>
    <w:rsid w:val="00843E1B"/>
    <w:rsid w:val="00931547"/>
    <w:rsid w:val="009D2D0D"/>
    <w:rsid w:val="00C27830"/>
    <w:rsid w:val="00E02E86"/>
    <w:rsid w:val="00E22095"/>
    <w:rsid w:val="00E71E02"/>
    <w:rsid w:val="00E817CB"/>
    <w:rsid w:val="00E8451F"/>
    <w:rsid w:val="00EE6A87"/>
    <w:rsid w:val="00FA54F7"/>
    <w:rsid w:val="01721A9B"/>
    <w:rsid w:val="02A666B0"/>
    <w:rsid w:val="05956511"/>
    <w:rsid w:val="08305ECD"/>
    <w:rsid w:val="0B8E1063"/>
    <w:rsid w:val="17025079"/>
    <w:rsid w:val="33C3782F"/>
    <w:rsid w:val="355D79F0"/>
    <w:rsid w:val="3752293E"/>
    <w:rsid w:val="39940C70"/>
    <w:rsid w:val="3BCE251A"/>
    <w:rsid w:val="3C0E755F"/>
    <w:rsid w:val="3E212274"/>
    <w:rsid w:val="4744767B"/>
    <w:rsid w:val="4D5637F7"/>
    <w:rsid w:val="5C672A18"/>
    <w:rsid w:val="64947090"/>
    <w:rsid w:val="6C952C21"/>
    <w:rsid w:val="6DD81C25"/>
    <w:rsid w:val="7165432A"/>
    <w:rsid w:val="73FA65DE"/>
    <w:rsid w:val="7DC139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449</Words>
  <Characters>2564</Characters>
  <Lines>21</Lines>
  <Paragraphs>6</Paragraphs>
  <TotalTime>8</TotalTime>
  <ScaleCrop>false</ScaleCrop>
  <LinksUpToDate>false</LinksUpToDate>
  <CharactersWithSpaces>3007</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2021-12-26T16:59:00Z</dcterms:created>
  <dc:creator>sgcc</dc:creator>
  <cp:lastModifiedBy>李敏</cp:lastModifiedBy>
  <dcterms:modified xsi:type="dcterms:W3CDTF">2021-12-27T14:40:37Z</dcterms:modified>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