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rPr>
          <w:rFonts w:hint="eastAsia" w:ascii="仿宋_GB2312" w:eastAsia="仿宋_GB2312"/>
          <w:sz w:val="32"/>
          <w:szCs w:val="32"/>
          <w:lang w:eastAsia="zh-CN"/>
        </w:rPr>
      </w:pPr>
      <w:r>
        <w:rPr>
          <w:rFonts w:hint="eastAsia" w:ascii="仿宋_GB2312" w:eastAsia="仿宋_GB2312"/>
          <w:sz w:val="32"/>
          <w:szCs w:val="32"/>
        </w:rPr>
        <w:t>附件1</w:t>
      </w:r>
      <w:r>
        <w:rPr>
          <w:rFonts w:hint="eastAsia" w:ascii="仿宋_GB2312" w:eastAsia="仿宋_GB2312"/>
          <w:sz w:val="32"/>
          <w:szCs w:val="32"/>
          <w:lang w:val="en-US" w:eastAsia="zh-CN"/>
        </w:rPr>
        <w:t>3</w:t>
      </w:r>
    </w:p>
    <w:p>
      <w:pPr>
        <w:adjustRightInd w:val="0"/>
        <w:snapToGrid w:val="0"/>
        <w:spacing w:line="600" w:lineRule="exact"/>
        <w:jc w:val="center"/>
        <w:rPr>
          <w:rFonts w:ascii="方正小标宋简体" w:eastAsia="方正小标宋简体"/>
          <w:sz w:val="44"/>
          <w:szCs w:val="44"/>
        </w:rPr>
      </w:pPr>
      <w:r>
        <w:rPr>
          <w:rFonts w:hint="eastAsia" w:ascii="方正小标宋简体" w:eastAsia="方正小标宋简体"/>
          <w:sz w:val="44"/>
          <w:szCs w:val="44"/>
        </w:rPr>
        <w:t>锦州考点安排及疫情防控要求</w:t>
      </w:r>
    </w:p>
    <w:p>
      <w:pPr>
        <w:adjustRightInd w:val="0"/>
        <w:snapToGrid w:val="0"/>
        <w:spacing w:line="600" w:lineRule="exact"/>
        <w:ind w:firstLine="640" w:firstLineChars="200"/>
        <w:rPr>
          <w:rFonts w:ascii="方正仿宋_GBK" w:eastAsia="方正仿宋_GBK"/>
          <w:sz w:val="32"/>
          <w:szCs w:val="32"/>
        </w:rPr>
      </w:pPr>
    </w:p>
    <w:p>
      <w:pPr>
        <w:pStyle w:val="4"/>
        <w:numPr>
          <w:ilvl w:val="0"/>
          <w:numId w:val="1"/>
        </w:numPr>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考点地址及电话</w:t>
      </w:r>
    </w:p>
    <w:p>
      <w:pPr>
        <w:adjustRightInd w:val="0"/>
        <w:snapToGri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国网辽宁省电力有限公司技能培训中心，位于辽宁省</w:t>
      </w:r>
      <w:r>
        <w:rPr>
          <w:rFonts w:hint="eastAsia" w:ascii="仿宋_GB2312" w:hAnsi="仿宋_GB2312" w:eastAsia="仿宋_GB2312" w:cs="仿宋_GB2312"/>
          <w:kern w:val="36"/>
          <w:sz w:val="32"/>
          <w:szCs w:val="32"/>
        </w:rPr>
        <w:t>锦州市凌河区松坡路128号</w:t>
      </w:r>
      <w:r>
        <w:rPr>
          <w:rFonts w:hint="eastAsia" w:ascii="仿宋_GB2312" w:hAnsi="仿宋_GB2312" w:eastAsia="仿宋_GB2312" w:cs="仿宋_GB2312"/>
          <w:color w:val="000000"/>
          <w:kern w:val="0"/>
          <w:sz w:val="32"/>
          <w:szCs w:val="32"/>
        </w:rPr>
        <w:t>。</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1.乘车路线</w:t>
      </w:r>
    </w:p>
    <w:p>
      <w:pPr>
        <w:adjustRightInd w:val="0"/>
        <w:snapToGri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（1）自锦州站出</w:t>
      </w:r>
      <w:r>
        <w:rPr>
          <w:rFonts w:hint="eastAsia" w:ascii="仿宋_GB2312" w:hAnsi="仿宋_GB2312" w:eastAsia="仿宋_GB2312" w:cs="仿宋_GB2312"/>
          <w:color w:val="000000"/>
          <w:kern w:val="0"/>
          <w:sz w:val="32"/>
          <w:szCs w:val="32"/>
        </w:rPr>
        <w:t>步行至锦州站公交站坐</w:t>
      </w:r>
      <w:r>
        <w:rPr>
          <w:rFonts w:ascii="仿宋_GB2312" w:hAnsi="仿宋_GB2312" w:eastAsia="仿宋_GB2312" w:cs="仿宋_GB2312"/>
          <w:color w:val="000000"/>
          <w:kern w:val="0"/>
          <w:sz w:val="32"/>
          <w:szCs w:val="32"/>
        </w:rPr>
        <w:t>116路到</w:t>
      </w:r>
      <w:r>
        <w:rPr>
          <w:rFonts w:hint="eastAsia" w:ascii="仿宋_GB2312" w:hAnsi="仿宋_GB2312" w:eastAsia="仿宋_GB2312" w:cs="仿宋_GB2312"/>
          <w:color w:val="000000"/>
          <w:kern w:val="0"/>
          <w:sz w:val="32"/>
          <w:szCs w:val="32"/>
        </w:rPr>
        <w:t>电力学校</w:t>
      </w:r>
      <w:r>
        <w:rPr>
          <w:rFonts w:ascii="仿宋_GB2312" w:hAnsi="仿宋_GB2312" w:eastAsia="仿宋_GB2312" w:cs="仿宋_GB2312"/>
          <w:color w:val="000000"/>
          <w:kern w:val="0"/>
          <w:sz w:val="32"/>
          <w:szCs w:val="32"/>
        </w:rPr>
        <w:t>公交站，步行90米到达考点</w:t>
      </w:r>
      <w:r>
        <w:rPr>
          <w:rFonts w:hint="eastAsia" w:ascii="仿宋_GB2312" w:hAnsi="仿宋_GB2312" w:eastAsia="仿宋_GB2312" w:cs="仿宋_GB2312"/>
          <w:color w:val="000000"/>
          <w:kern w:val="0"/>
          <w:sz w:val="32"/>
          <w:szCs w:val="32"/>
        </w:rPr>
        <w:t>。</w:t>
      </w:r>
    </w:p>
    <w:p>
      <w:pPr>
        <w:adjustRightInd w:val="0"/>
        <w:snapToGri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（2）自锦州西站出步行7</w:t>
      </w:r>
      <w:r>
        <w:rPr>
          <w:rFonts w:ascii="仿宋_GB2312" w:hAnsi="仿宋_GB2312" w:eastAsia="仿宋_GB2312" w:cs="仿宋_GB2312"/>
          <w:color w:val="000000"/>
          <w:kern w:val="0"/>
          <w:sz w:val="32"/>
          <w:szCs w:val="32"/>
        </w:rPr>
        <w:t>70</w:t>
      </w:r>
      <w:r>
        <w:rPr>
          <w:rFonts w:hint="eastAsia" w:ascii="仿宋_GB2312" w:hAnsi="仿宋_GB2312" w:eastAsia="仿宋_GB2312" w:cs="仿宋_GB2312"/>
          <w:color w:val="000000"/>
          <w:kern w:val="0"/>
          <w:sz w:val="32"/>
          <w:szCs w:val="32"/>
        </w:rPr>
        <w:t>米至十里台公交站坐2</w:t>
      </w:r>
      <w:r>
        <w:rPr>
          <w:rFonts w:ascii="仿宋_GB2312" w:hAnsi="仿宋_GB2312" w:eastAsia="仿宋_GB2312" w:cs="仿宋_GB2312"/>
          <w:color w:val="000000"/>
          <w:kern w:val="0"/>
          <w:sz w:val="32"/>
          <w:szCs w:val="32"/>
        </w:rPr>
        <w:t>01</w:t>
      </w:r>
      <w:r>
        <w:rPr>
          <w:rFonts w:hint="eastAsia" w:ascii="仿宋_GB2312" w:hAnsi="仿宋_GB2312" w:eastAsia="仿宋_GB2312" w:cs="仿宋_GB2312"/>
          <w:color w:val="000000"/>
          <w:kern w:val="0"/>
          <w:sz w:val="32"/>
          <w:szCs w:val="32"/>
        </w:rPr>
        <w:t>路至锦州银行永丰支行</w:t>
      </w:r>
      <w:r>
        <w:rPr>
          <w:rFonts w:ascii="仿宋_GB2312" w:hAnsi="仿宋_GB2312" w:eastAsia="仿宋_GB2312" w:cs="仿宋_GB2312"/>
          <w:color w:val="000000"/>
          <w:kern w:val="0"/>
          <w:sz w:val="32"/>
          <w:szCs w:val="32"/>
        </w:rPr>
        <w:t>(妇婴医院)站下车</w:t>
      </w:r>
      <w:r>
        <w:rPr>
          <w:rFonts w:hint="eastAsia" w:ascii="仿宋_GB2312" w:hAnsi="仿宋_GB2312" w:eastAsia="仿宋_GB2312" w:cs="仿宋_GB2312"/>
          <w:color w:val="000000"/>
          <w:kern w:val="0"/>
          <w:sz w:val="32"/>
          <w:szCs w:val="32"/>
        </w:rPr>
        <w:t>，步行2</w:t>
      </w:r>
      <w:r>
        <w:rPr>
          <w:rFonts w:ascii="仿宋_GB2312" w:hAnsi="仿宋_GB2312" w:eastAsia="仿宋_GB2312" w:cs="仿宋_GB2312"/>
          <w:color w:val="000000"/>
          <w:kern w:val="0"/>
          <w:sz w:val="32"/>
          <w:szCs w:val="32"/>
        </w:rPr>
        <w:t>10</w:t>
      </w:r>
      <w:r>
        <w:rPr>
          <w:rFonts w:hint="eastAsia" w:ascii="仿宋_GB2312" w:hAnsi="仿宋_GB2312" w:eastAsia="仿宋_GB2312" w:cs="仿宋_GB2312"/>
          <w:color w:val="000000"/>
          <w:kern w:val="0"/>
          <w:sz w:val="32"/>
          <w:szCs w:val="32"/>
        </w:rPr>
        <w:t>米至四中</w:t>
      </w:r>
      <w:r>
        <w:rPr>
          <w:rFonts w:ascii="仿宋_GB2312" w:hAnsi="仿宋_GB2312" w:eastAsia="仿宋_GB2312" w:cs="仿宋_GB2312"/>
          <w:color w:val="000000"/>
          <w:kern w:val="0"/>
          <w:sz w:val="32"/>
          <w:szCs w:val="32"/>
        </w:rPr>
        <w:t>(都医生皮肤修复中心)站</w:t>
      </w:r>
      <w:r>
        <w:rPr>
          <w:rFonts w:hint="eastAsia" w:ascii="仿宋_GB2312" w:hAnsi="仿宋_GB2312" w:eastAsia="仿宋_GB2312" w:cs="仿宋_GB2312"/>
          <w:color w:val="000000"/>
          <w:kern w:val="0"/>
          <w:sz w:val="32"/>
          <w:szCs w:val="32"/>
        </w:rPr>
        <w:t>转乘环路内环至电力学校站下车，步行1</w:t>
      </w:r>
      <w:r>
        <w:rPr>
          <w:rFonts w:ascii="仿宋_GB2312" w:hAnsi="仿宋_GB2312" w:eastAsia="仿宋_GB2312" w:cs="仿宋_GB2312"/>
          <w:color w:val="000000"/>
          <w:kern w:val="0"/>
          <w:sz w:val="32"/>
          <w:szCs w:val="32"/>
        </w:rPr>
        <w:t>00</w:t>
      </w:r>
      <w:r>
        <w:rPr>
          <w:rFonts w:hint="eastAsia" w:ascii="仿宋_GB2312" w:hAnsi="仿宋_GB2312" w:eastAsia="仿宋_GB2312" w:cs="仿宋_GB2312"/>
          <w:color w:val="000000"/>
          <w:kern w:val="0"/>
          <w:sz w:val="32"/>
          <w:szCs w:val="32"/>
        </w:rPr>
        <w:t>米到终点。</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电话：</w:t>
      </w:r>
      <w:r>
        <w:rPr>
          <w:rFonts w:hint="eastAsia" w:ascii="仿宋_GB2312" w:hAnsi="仿宋_GB2312" w:eastAsia="仿宋_GB2312" w:cs="仿宋_GB2312"/>
          <w:color w:val="000000"/>
          <w:kern w:val="0"/>
          <w:sz w:val="32"/>
          <w:szCs w:val="32"/>
        </w:rPr>
        <w:t>0416-3325021</w:t>
      </w:r>
      <w:r>
        <w:rPr>
          <w:rFonts w:hint="eastAsia" w:ascii="仿宋_GB2312" w:hAnsi="仿宋_GB2312" w:eastAsia="仿宋_GB2312" w:cs="仿宋_GB2312"/>
          <w:kern w:val="0"/>
          <w:sz w:val="32"/>
          <w:szCs w:val="32"/>
        </w:rPr>
        <w:t>（此电话仅供考试地点咨询）</w:t>
      </w:r>
    </w:p>
    <w:p>
      <w:pPr>
        <w:pStyle w:val="4"/>
        <w:numPr>
          <w:ilvl w:val="0"/>
          <w:numId w:val="1"/>
        </w:numPr>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领取准考证安排</w:t>
      </w:r>
    </w:p>
    <w:p>
      <w:pPr>
        <w:pStyle w:val="4"/>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（一）时间安排</w:t>
      </w:r>
    </w:p>
    <w:p>
      <w:pPr>
        <w:widowControl/>
        <w:adjustRightInd w:val="0"/>
        <w:snapToGrid w:val="0"/>
        <w:spacing w:line="600" w:lineRule="exact"/>
        <w:ind w:firstLine="640" w:firstLineChars="200"/>
        <w:jc w:val="left"/>
        <w:textAlignment w:val="center"/>
        <w:rPr>
          <w:rFonts w:ascii="仿宋_GB2312" w:hAnsi="仿宋_GB2312" w:eastAsia="仿宋_GB2312" w:cs="仿宋_GB2312"/>
          <w:b/>
          <w:bCs/>
          <w:sz w:val="32"/>
          <w:szCs w:val="32"/>
        </w:rPr>
      </w:pPr>
      <w:r>
        <w:rPr>
          <w:rFonts w:hint="eastAsia" w:ascii="仿宋_GB2312" w:hAnsi="仿宋_GB2312" w:eastAsia="仿宋_GB2312" w:cs="仿宋_GB2312"/>
          <w:color w:val="000000"/>
          <w:kern w:val="0"/>
          <w:sz w:val="32"/>
          <w:szCs w:val="32"/>
          <w:lang w:bidi="ar"/>
        </w:rPr>
        <w:t>1月1日13:00-15:00</w:t>
      </w:r>
    </w:p>
    <w:p>
      <w:pPr>
        <w:pStyle w:val="4"/>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（二）携带材料清单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sz w:val="32"/>
          <w:highlight w:val="yellow"/>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4"/>
        <w:numPr>
          <w:ilvl w:val="0"/>
          <w:numId w:val="1"/>
        </w:numPr>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疫情防控须知</w:t>
      </w:r>
    </w:p>
    <w:p>
      <w:pPr>
        <w:adjustRightInd w:val="0"/>
        <w:snapToGri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领取准考证、考试地点均在锦州市，考生须及时关注疫情形势变化，自觉通过主流媒体和官方渠道了解国家及考生所在地、考点所在地疫情防控最新政策，严格执行最新要求，将各项措施落实到位并具备在考点所在地流动条件。领取准考证、考试疫情防控具体要求详见《2022年招聘高校毕业生（第一批）考试新冠肺炎疫情防控告知书暨个人承诺书》（附</w:t>
      </w: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）。锦州市防疫管控原则（12月26日）供考生参考（附</w:t>
      </w: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w:t>
      </w:r>
    </w:p>
    <w:p>
      <w:pPr>
        <w:widowControl/>
        <w:numPr>
          <w:ilvl w:val="0"/>
          <w:numId w:val="2"/>
        </w:numPr>
        <w:adjustRightInd w:val="0"/>
        <w:snapToGrid w:val="0"/>
        <w:spacing w:line="600" w:lineRule="exact"/>
        <w:ind w:firstLine="640" w:firstLineChars="200"/>
        <w:jc w:val="left"/>
        <w:textAlignment w:val="center"/>
        <w:rPr>
          <w:rFonts w:ascii="黑体" w:hAnsi="黑体" w:eastAsia="黑体" w:cs="黑体"/>
          <w:bCs/>
          <w:color w:val="000000"/>
          <w:kern w:val="0"/>
          <w:sz w:val="32"/>
          <w:szCs w:val="32"/>
        </w:rPr>
      </w:pPr>
      <w:r>
        <w:rPr>
          <w:rFonts w:hint="eastAsia" w:ascii="黑体" w:hAnsi="黑体" w:eastAsia="黑体" w:cs="黑体"/>
          <w:bCs/>
          <w:color w:val="000000"/>
          <w:kern w:val="0"/>
          <w:sz w:val="32"/>
          <w:szCs w:val="32"/>
        </w:rPr>
        <w:t>其他注意事项</w:t>
      </w:r>
    </w:p>
    <w:p>
      <w:pPr>
        <w:adjustRightInd w:val="0"/>
        <w:snapToGri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1.请领到准考证的考生，于正式考试前1小时到达考点，携带身份证和准考证，经新冠肺炎疫情防控检查合格后入场，要服从考场工作人员引导。</w:t>
      </w:r>
    </w:p>
    <w:p>
      <w:pPr>
        <w:adjustRightInd w:val="0"/>
        <w:snapToGri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2.为保证领取准考证和考试秩序，领取准考证和考试期间，严禁考生陪同人员进入考点。接送考生的车辆和人员到达考点后请即停即走，不要逗留和聚集。</w:t>
      </w:r>
    </w:p>
    <w:p>
      <w:pPr>
        <w:adjustRightInd w:val="0"/>
        <w:snapToGri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3.前来领取准考证及考试的考生须提前规划行程，</w:t>
      </w:r>
      <w:r>
        <w:rPr>
          <w:rFonts w:hint="eastAsia" w:ascii="仿宋_GB2312" w:hAnsi="仿宋_GB2312" w:eastAsia="仿宋_GB2312" w:cs="仿宋_GB2312"/>
          <w:b/>
          <w:bCs/>
          <w:color w:val="000000"/>
          <w:kern w:val="0"/>
          <w:sz w:val="32"/>
          <w:szCs w:val="32"/>
        </w:rPr>
        <w:t>提前做好核酸检测等事项安排，</w:t>
      </w:r>
      <w:r>
        <w:rPr>
          <w:rFonts w:hint="eastAsia" w:ascii="仿宋_GB2312" w:hAnsi="仿宋_GB2312" w:eastAsia="仿宋_GB2312" w:cs="仿宋_GB2312"/>
          <w:color w:val="000000"/>
          <w:kern w:val="0"/>
          <w:sz w:val="32"/>
          <w:szCs w:val="32"/>
        </w:rPr>
        <w:t>确保在规定时间领取准考证和考试。考点不具备食宿条件，请自行妥善安排个人交通、住宿及饮食，安全责任自行承担。</w:t>
      </w:r>
    </w:p>
    <w:p>
      <w:pPr>
        <w:widowControl/>
        <w:adjustRightInd w:val="0"/>
        <w:snapToGrid w:val="0"/>
        <w:spacing w:line="600" w:lineRule="exact"/>
        <w:jc w:val="left"/>
        <w:textAlignment w:val="center"/>
        <w:rPr>
          <w:rFonts w:ascii="黑体" w:hAnsi="黑体" w:eastAsia="黑体" w:cs="黑体"/>
          <w:bCs/>
          <w:color w:val="000000"/>
          <w:kern w:val="0"/>
          <w:sz w:val="32"/>
          <w:szCs w:val="32"/>
        </w:rPr>
      </w:pPr>
    </w:p>
    <w:p>
      <w:pPr>
        <w:adjustRightInd w:val="0"/>
        <w:snapToGrid w:val="0"/>
        <w:spacing w:line="600" w:lineRule="exact"/>
        <w:rPr>
          <w:sz w:val="32"/>
          <w:szCs w:val="32"/>
        </w:rPr>
      </w:pPr>
    </w:p>
    <w:p>
      <w:pPr>
        <w:adjustRightInd w:val="0"/>
        <w:snapToGrid w:val="0"/>
        <w:spacing w:line="600" w:lineRule="exact"/>
        <w:rPr>
          <w:sz w:val="32"/>
          <w:szCs w:val="32"/>
        </w:rPr>
      </w:pPr>
    </w:p>
    <w:p>
      <w:pPr>
        <w:adjustRightInd w:val="0"/>
        <w:snapToGrid w:val="0"/>
        <w:spacing w:line="600" w:lineRule="exact"/>
        <w:rPr>
          <w:sz w:val="32"/>
          <w:szCs w:val="32"/>
        </w:rPr>
      </w:pPr>
    </w:p>
    <w:p>
      <w:pPr>
        <w:adjustRightInd w:val="0"/>
        <w:snapToGrid w:val="0"/>
        <w:spacing w:line="600" w:lineRule="exact"/>
        <w:rPr>
          <w:sz w:val="32"/>
          <w:szCs w:val="32"/>
        </w:rPr>
      </w:pPr>
    </w:p>
    <w:p>
      <w:pPr>
        <w:adjustRightInd w:val="0"/>
        <w:snapToGrid w:val="0"/>
        <w:spacing w:line="600" w:lineRule="exact"/>
        <w:rPr>
          <w:rFonts w:hint="eastAsia"/>
          <w:sz w:val="32"/>
          <w:szCs w:val="32"/>
        </w:rPr>
      </w:pPr>
    </w:p>
    <w:p>
      <w:pPr>
        <w:adjustRightInd w:val="0"/>
        <w:snapToGrid w:val="0"/>
        <w:spacing w:line="600" w:lineRule="exact"/>
        <w:jc w:val="left"/>
        <w:rPr>
          <w:rFonts w:hint="eastAsia" w:ascii="仿宋_GB2312" w:hAnsi="黑体" w:eastAsia="仿宋_GB2312" w:cs="方正小标宋_GBK"/>
          <w:bCs/>
          <w:sz w:val="32"/>
          <w:szCs w:val="32"/>
        </w:rPr>
      </w:pPr>
      <w:r>
        <w:rPr>
          <w:rFonts w:hint="eastAsia" w:ascii="仿宋_GB2312" w:hAnsi="黑体" w:eastAsia="仿宋_GB2312" w:cs="方正小标宋_GBK"/>
          <w:bCs/>
          <w:sz w:val="32"/>
          <w:szCs w:val="32"/>
        </w:rPr>
        <w:t>附1</w:t>
      </w:r>
    </w:p>
    <w:p>
      <w:pPr>
        <w:adjustRightInd w:val="0"/>
        <w:snapToGrid w:val="0"/>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2022年招聘高校毕业生（第一批）考试新冠肺炎疫情防控告知书暨个人承诺书</w:t>
      </w:r>
    </w:p>
    <w:p>
      <w:pPr>
        <w:adjustRightInd w:val="0"/>
        <w:snapToGrid w:val="0"/>
        <w:spacing w:line="600" w:lineRule="exact"/>
        <w:jc w:val="center"/>
        <w:rPr>
          <w:rFonts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（辽宁锦州考点）</w:t>
      </w:r>
    </w:p>
    <w:p>
      <w:pPr>
        <w:adjustRightInd w:val="0"/>
        <w:snapToGrid w:val="0"/>
        <w:spacing w:line="600" w:lineRule="exact"/>
        <w:ind w:firstLine="640" w:firstLineChars="200"/>
        <w:rPr>
          <w:rFonts w:ascii="仿宋_GB2312" w:eastAsia="仿宋_GB2312"/>
          <w:sz w:val="32"/>
          <w:szCs w:val="32"/>
        </w:rPr>
      </w:pPr>
    </w:p>
    <w:p>
      <w:pPr>
        <w:adjustRightInd w:val="0"/>
        <w:snapToGrid w:val="0"/>
        <w:spacing w:line="600" w:lineRule="exact"/>
        <w:ind w:firstLine="640" w:firstLineChars="200"/>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为全面深入做好新冠肺炎疫情防控各项工作，保障全体考生和考试工作参与人员的身体健康和生命安全，确保考试各环节工作顺利进行，根据新冠肺炎疫情防控政策和有关要求，现对即将在辽宁锦州考点领取准考证和考试的全体考生就疫情防控要求告知如下：</w:t>
      </w:r>
    </w:p>
    <w:p>
      <w:pPr>
        <w:adjustRightInd w:val="0"/>
        <w:snapToGrid w:val="0"/>
        <w:spacing w:line="600" w:lineRule="exact"/>
        <w:ind w:firstLine="643" w:firstLineChars="200"/>
        <w:rPr>
          <w:rFonts w:ascii="仿宋_GB2312" w:hAnsi="方正仿宋_GBK" w:eastAsia="仿宋_GB2312" w:cs="方正仿宋_GBK"/>
          <w:b/>
          <w:sz w:val="32"/>
          <w:szCs w:val="32"/>
        </w:rPr>
      </w:pPr>
      <w:r>
        <w:rPr>
          <w:rFonts w:hint="eastAsia" w:ascii="黑体" w:hAnsi="黑体" w:eastAsia="黑体" w:cs="方正黑体_GBK"/>
          <w:b/>
          <w:bCs/>
          <w:sz w:val="32"/>
          <w:szCs w:val="32"/>
        </w:rPr>
        <w:t>一、参加考试要求</w:t>
      </w:r>
    </w:p>
    <w:p>
      <w:pPr>
        <w:adjustRightInd w:val="0"/>
        <w:snapToGrid w:val="0"/>
        <w:spacing w:line="600" w:lineRule="exact"/>
        <w:ind w:firstLine="643"/>
        <w:rPr>
          <w:rFonts w:ascii="仿宋_GB2312" w:hAnsi="方正仿宋_GBK" w:eastAsia="仿宋_GB2312" w:cs="方正仿宋_GBK"/>
          <w:b/>
          <w:sz w:val="32"/>
          <w:szCs w:val="32"/>
        </w:rPr>
      </w:pPr>
      <w:r>
        <w:rPr>
          <w:rFonts w:hint="eastAsia" w:ascii="仿宋_GB2312" w:hAnsi="方正仿宋_GBK" w:eastAsia="仿宋_GB2312" w:cs="方正仿宋_GBK"/>
          <w:b/>
          <w:sz w:val="32"/>
          <w:szCs w:val="32"/>
        </w:rPr>
        <w:t>1.提前申领健康码和行程卡。领取准考证、考试进入考点，考生“辽事通健康码”和“通信行程卡”须为绿码，并</w:t>
      </w:r>
      <w:r>
        <w:rPr>
          <w:rFonts w:hint="eastAsia" w:ascii="仿宋_GB2312" w:hAnsi="仿宋_GB2312" w:eastAsia="仿宋_GB2312" w:cs="仿宋_GB2312"/>
          <w:b/>
          <w:bCs/>
          <w:sz w:val="32"/>
          <w:szCs w:val="32"/>
        </w:rPr>
        <w:t>现场填报、</w:t>
      </w:r>
      <w:r>
        <w:rPr>
          <w:rFonts w:hint="eastAsia" w:ascii="仿宋_GB2312" w:hAnsi="方正仿宋_GBK" w:eastAsia="仿宋_GB2312" w:cs="方正仿宋_GBK"/>
          <w:b/>
          <w:sz w:val="32"/>
          <w:szCs w:val="32"/>
        </w:rPr>
        <w:t>签订、提交《</w:t>
      </w:r>
      <w:r>
        <w:rPr>
          <w:rFonts w:hint="eastAsia" w:ascii="仿宋_GB2312" w:hAnsi="仿宋_GB2312" w:eastAsia="仿宋_GB2312" w:cs="仿宋_GB2312"/>
          <w:b/>
          <w:bCs/>
          <w:sz w:val="32"/>
          <w:szCs w:val="32"/>
        </w:rPr>
        <w:t>流调信息表暨</w:t>
      </w:r>
      <w:r>
        <w:rPr>
          <w:rFonts w:hint="eastAsia" w:ascii="仿宋_GB2312" w:hAnsi="方正仿宋_GBK" w:eastAsia="仿宋_GB2312" w:cs="方正仿宋_GBK"/>
          <w:b/>
          <w:sz w:val="32"/>
          <w:szCs w:val="32"/>
        </w:rPr>
        <w:t>身体健康状况承诺书》。</w:t>
      </w:r>
      <w:r>
        <w:rPr>
          <w:rFonts w:hint="eastAsia" w:ascii="仿宋_GB2312" w:hAnsi="方正仿宋_GBK" w:eastAsia="仿宋_GB2312" w:cs="方正仿宋_GBK"/>
          <w:sz w:val="32"/>
          <w:szCs w:val="32"/>
        </w:rPr>
        <w:t>申领辽事通健康码方法：微信进入“辽事通健康码”小程序，点击“生成辽事通码”，按提示逐步操作，输入有关信息后生成个人健康码。申领通信行程卡方法：微信进入“通信行程卡”小程序，按提示逐步操作，填写手机号码进行注册，生成个人通信大数据行程卡。注册环节填写的手机号码须为报名时填写的手机号码。</w:t>
      </w:r>
    </w:p>
    <w:p>
      <w:pPr>
        <w:adjustRightInd w:val="0"/>
        <w:snapToGrid w:val="0"/>
        <w:spacing w:line="600" w:lineRule="exact"/>
        <w:ind w:firstLine="643"/>
        <w:rPr>
          <w:rFonts w:ascii="仿宋_GB2312" w:hAnsi="仿宋_GB2312" w:eastAsia="仿宋_GB2312" w:cs="仿宋_GB2312"/>
          <w:sz w:val="32"/>
          <w:szCs w:val="32"/>
        </w:rPr>
      </w:pPr>
      <w:r>
        <w:rPr>
          <w:rFonts w:hint="eastAsia" w:ascii="仿宋_GB2312" w:hAnsi="方正仿宋_GBK" w:eastAsia="仿宋_GB2312" w:cs="方正仿宋_GBK"/>
          <w:b/>
          <w:sz w:val="32"/>
          <w:szCs w:val="32"/>
        </w:rPr>
        <w:t>2.</w:t>
      </w:r>
      <w:r>
        <w:rPr>
          <w:rFonts w:hint="eastAsia" w:ascii="仿宋_GB2312" w:eastAsia="仿宋_GB2312"/>
          <w:b/>
          <w:sz w:val="32"/>
          <w:szCs w:val="32"/>
        </w:rPr>
        <w:t>做好防疫排查。</w:t>
      </w:r>
      <w:r>
        <w:rPr>
          <w:rFonts w:hint="eastAsia" w:ascii="仿宋_GB2312" w:hAnsi="方正仿宋_GBK" w:eastAsia="仿宋_GB2312" w:cs="方正仿宋_GBK"/>
          <w:b/>
          <w:sz w:val="32"/>
          <w:szCs w:val="32"/>
        </w:rPr>
        <w:t>领取准考证、考试进入考点，考生须接受体温检测，低于37.3℃且无</w:t>
      </w:r>
      <w:r>
        <w:rPr>
          <w:rFonts w:hint="eastAsia" w:ascii="仿宋_GB2312" w:eastAsia="仿宋_GB2312"/>
          <w:b/>
          <w:sz w:val="32"/>
          <w:szCs w:val="32"/>
        </w:rPr>
        <w:t>咳嗽等异常症状</w:t>
      </w:r>
      <w:r>
        <w:rPr>
          <w:rFonts w:hint="eastAsia" w:ascii="仿宋_GB2312" w:hAnsi="方正仿宋_GBK" w:eastAsia="仿宋_GB2312" w:cs="方正仿宋_GBK"/>
          <w:b/>
          <w:sz w:val="32"/>
          <w:szCs w:val="32"/>
        </w:rPr>
        <w:t>。</w:t>
      </w:r>
      <w:r>
        <w:rPr>
          <w:rFonts w:hint="eastAsia" w:ascii="仿宋_GB2312" w:eastAsia="仿宋_GB2312"/>
          <w:sz w:val="32"/>
          <w:szCs w:val="32"/>
        </w:rPr>
        <w:t>考前考生要</w:t>
      </w:r>
      <w:r>
        <w:rPr>
          <w:rFonts w:hint="eastAsia" w:ascii="仿宋_GB2312" w:hAnsi="仿宋_GB2312" w:eastAsia="仿宋_GB2312" w:cs="仿宋_GB2312"/>
          <w:sz w:val="32"/>
          <w:szCs w:val="32"/>
        </w:rPr>
        <w:t>自觉加强个人疫情防控意识，务必做好个人日常防护，</w:t>
      </w:r>
      <w:r>
        <w:rPr>
          <w:rFonts w:hint="eastAsia" w:ascii="仿宋_GB2312" w:eastAsia="仿宋_GB2312"/>
          <w:sz w:val="32"/>
          <w:szCs w:val="32"/>
        </w:rPr>
        <w:t>每日自行主动检测记录体</w:t>
      </w:r>
      <w:r>
        <w:rPr>
          <w:rFonts w:hint="eastAsia" w:ascii="仿宋_GB2312" w:hAnsi="仿宋_GB2312" w:eastAsia="仿宋_GB2312" w:cs="仿宋_GB2312"/>
          <w:sz w:val="32"/>
          <w:szCs w:val="32"/>
        </w:rPr>
        <w:t>温、监测健康状况，若体温异常或出现其他身体状况异常的，要自觉接受卫健部门、疫控机构的专业评估。</w:t>
      </w:r>
      <w:r>
        <w:rPr>
          <w:rFonts w:hint="eastAsia" w:ascii="仿宋_GB2312" w:eastAsia="仿宋_GB2312"/>
          <w:sz w:val="32"/>
          <w:szCs w:val="32"/>
        </w:rPr>
        <w:t>积极配合疫情排查，</w:t>
      </w:r>
      <w:r>
        <w:rPr>
          <w:rFonts w:hint="eastAsia" w:ascii="仿宋_GB2312" w:hAnsi="仿宋_GB2312" w:eastAsia="仿宋_GB2312" w:cs="仿宋_GB2312"/>
          <w:sz w:val="32"/>
          <w:szCs w:val="32"/>
        </w:rPr>
        <w:t>领取准考证、考试任一环节有发热、咳嗽等呼吸道症状者，应主动报告，服从并配合现场考务人员安排。</w:t>
      </w:r>
      <w:r>
        <w:rPr>
          <w:rFonts w:hint="eastAsia" w:ascii="仿宋_GB2312" w:hAnsi="方正仿宋_GBK" w:eastAsia="仿宋_GB2312" w:cs="方正仿宋_GBK"/>
          <w:sz w:val="32"/>
          <w:szCs w:val="32"/>
        </w:rPr>
        <w:t>复测体温正常的，或</w:t>
      </w:r>
      <w:r>
        <w:rPr>
          <w:rFonts w:hint="eastAsia" w:ascii="仿宋_GB2312" w:hAnsi="仿宋_GB2312" w:eastAsia="仿宋_GB2312" w:cs="仿宋_GB2312"/>
          <w:sz w:val="32"/>
          <w:szCs w:val="32"/>
        </w:rPr>
        <w:t>经专业评估后无需进一步排查的，转移至备用隔离考场考试；需要进一步排查的，按照疫情防控政策要求执行。</w:t>
      </w:r>
    </w:p>
    <w:p>
      <w:pPr>
        <w:adjustRightInd w:val="0"/>
        <w:snapToGrid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3.提前进行核酸检测</w:t>
      </w:r>
      <w:r>
        <w:rPr>
          <w:rFonts w:hint="eastAsia" w:ascii="仿宋_GB2312" w:hAnsi="方正仿宋_GBK" w:eastAsia="仿宋_GB2312" w:cs="方正仿宋_GBK"/>
          <w:b/>
          <w:bCs/>
          <w:sz w:val="32"/>
          <w:szCs w:val="32"/>
        </w:rPr>
        <w:t>。</w:t>
      </w:r>
      <w:r>
        <w:rPr>
          <w:rFonts w:hint="eastAsia" w:ascii="仿宋_GB2312" w:hAnsi="方正仿宋_GBK" w:eastAsia="仿宋_GB2312" w:cs="方正仿宋_GBK"/>
          <w:b/>
          <w:sz w:val="32"/>
          <w:szCs w:val="32"/>
        </w:rPr>
        <w:t>领取准考证进入考点，</w:t>
      </w:r>
      <w:r>
        <w:rPr>
          <w:rFonts w:hint="eastAsia" w:ascii="仿宋_GB2312" w:hAnsi="方正仿宋_GBK" w:eastAsia="仿宋_GB2312" w:cs="方正仿宋_GBK"/>
          <w:b/>
          <w:bCs/>
          <w:sz w:val="32"/>
          <w:szCs w:val="32"/>
        </w:rPr>
        <w:t>考生须现场</w:t>
      </w:r>
      <w:r>
        <w:rPr>
          <w:rFonts w:hint="eastAsia" w:ascii="仿宋_GB2312" w:hAnsi="仿宋_GB2312" w:eastAsia="仿宋_GB2312" w:cs="仿宋_GB2312"/>
          <w:b/>
          <w:bCs/>
          <w:sz w:val="32"/>
          <w:szCs w:val="32"/>
        </w:rPr>
        <w:t>提供48小时内核酸检测阴性证明</w:t>
      </w:r>
      <w:r>
        <w:rPr>
          <w:rFonts w:hint="eastAsia" w:ascii="仿宋_GB2312" w:hAnsi="仿宋_GB2312" w:eastAsia="仿宋_GB2312" w:cs="仿宋_GB2312"/>
          <w:b/>
          <w:bCs/>
          <w:color w:val="000000"/>
          <w:kern w:val="0"/>
          <w:sz w:val="32"/>
          <w:szCs w:val="32"/>
        </w:rPr>
        <w:t>（纸质版、电子版或辽事通健康码中核酸检测结果）。</w:t>
      </w:r>
      <w:r>
        <w:rPr>
          <w:rFonts w:hint="eastAsia" w:ascii="仿宋_GB2312" w:hAnsi="仿宋_GB2312" w:eastAsia="仿宋_GB2312" w:cs="仿宋_GB2312"/>
          <w:color w:val="000000"/>
          <w:kern w:val="0"/>
          <w:sz w:val="32"/>
          <w:szCs w:val="32"/>
        </w:rPr>
        <w:t>核酸检测机构查询方法：微信进入“国务院客户端”小程序—便民服务—核酸检测机构。核酸检测需一定时间周期，请提前咨询、预约和检测，统筹做好</w:t>
      </w:r>
      <w:r>
        <w:rPr>
          <w:rFonts w:hint="eastAsia" w:ascii="仿宋_GB2312" w:hAnsi="仿宋_GB2312" w:eastAsia="仿宋_GB2312" w:cs="仿宋_GB2312"/>
          <w:sz w:val="32"/>
          <w:szCs w:val="32"/>
        </w:rPr>
        <w:t>时间安排。</w:t>
      </w:r>
    </w:p>
    <w:p>
      <w:pPr>
        <w:adjustRightInd w:val="0"/>
        <w:snapToGrid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4.严控境外输入风险。</w:t>
      </w:r>
      <w:r>
        <w:rPr>
          <w:rFonts w:hint="eastAsia" w:ascii="仿宋_GB2312" w:hAnsi="仿宋_GB2312" w:eastAsia="仿宋_GB2312" w:cs="仿宋_GB2312"/>
          <w:sz w:val="32"/>
          <w:szCs w:val="32"/>
        </w:rPr>
        <w:t>2021年10月1日以来有境外旅居史的考生和留学生，须提供最后一次入境的出入境证件或出入境查询记录；以及有关部门出具的最后一次入境解除隔离证明、隔离核酸检测阴性报告等有关佐证材料。</w:t>
      </w:r>
    </w:p>
    <w:p>
      <w:pPr>
        <w:adjustRightInd w:val="0"/>
        <w:snapToGrid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5.严格遵守防疫规定。</w:t>
      </w:r>
      <w:r>
        <w:rPr>
          <w:rFonts w:hint="eastAsia" w:ascii="仿宋_GB2312" w:hAnsi="方正仿宋_GBK" w:eastAsia="仿宋_GB2312" w:cs="方正仿宋_GBK"/>
          <w:b/>
          <w:sz w:val="32"/>
          <w:szCs w:val="32"/>
        </w:rPr>
        <w:t>领取准考证、考试地点均在锦州市，</w:t>
      </w:r>
      <w:r>
        <w:rPr>
          <w:rFonts w:hint="eastAsia" w:ascii="仿宋_GB2312" w:hAnsi="仿宋_GB2312" w:eastAsia="仿宋_GB2312" w:cs="仿宋_GB2312"/>
          <w:b/>
          <w:sz w:val="32"/>
          <w:szCs w:val="32"/>
        </w:rPr>
        <w:t>考生须密切关注国家及考生所在地、考点所在地疫情防控政策并严格遵守。</w:t>
      </w:r>
      <w:r>
        <w:rPr>
          <w:rFonts w:hint="eastAsia" w:ascii="仿宋_GB2312" w:hAnsi="仿宋_GB2312" w:eastAsia="仿宋_GB2312" w:cs="仿宋_GB2312"/>
          <w:sz w:val="32"/>
          <w:szCs w:val="32"/>
        </w:rPr>
        <w:t>领取准考证前至考试结束期间，身体状况出现异常的，或有新冠肺炎确诊病例、无症状感染者、疑似患者密切接触史的，</w:t>
      </w:r>
      <w:r>
        <w:rPr>
          <w:rFonts w:hint="eastAsia" w:ascii="仿宋_GB2312" w:hAnsi="方正仿宋_GBK" w:eastAsia="仿宋_GB2312" w:cs="方正仿宋_GBK"/>
          <w:sz w:val="32"/>
          <w:szCs w:val="32"/>
        </w:rPr>
        <w:t>或</w:t>
      </w:r>
      <w:r>
        <w:rPr>
          <w:rFonts w:hint="eastAsia" w:ascii="仿宋_GB2312" w:eastAsia="仿宋_GB2312"/>
          <w:sz w:val="32"/>
          <w:szCs w:val="32"/>
        </w:rPr>
        <w:t>有国内疫情中高风险地区或境外旅居史、接触史的，</w:t>
      </w:r>
      <w:r>
        <w:rPr>
          <w:rFonts w:hint="eastAsia" w:ascii="仿宋_GB2312" w:hAnsi="仿宋_GB2312" w:eastAsia="仿宋_GB2312" w:cs="仿宋_GB2312"/>
          <w:sz w:val="32"/>
          <w:szCs w:val="32"/>
        </w:rPr>
        <w:t>或存在其他不能排除感染可能情况的，须严格按照国家及考生所在地、考点所在地政策要求，将隔离、核酸检测等各项措施落实到位并具备在考点所在地流动条件后，方具备现场领取准考证和参加考试的条件。</w:t>
      </w:r>
    </w:p>
    <w:p>
      <w:pPr>
        <w:adjustRightInd w:val="0"/>
        <w:snapToGrid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5.明确责任后果。</w:t>
      </w:r>
      <w:r>
        <w:rPr>
          <w:rFonts w:hint="eastAsia" w:ascii="仿宋_GB2312" w:hAnsi="仿宋_GB2312" w:eastAsia="仿宋_GB2312" w:cs="仿宋_GB2312"/>
          <w:sz w:val="32"/>
          <w:szCs w:val="32"/>
        </w:rPr>
        <w:t>根据当前疫情防控政策要求，领取准考证、考试环节，考生存在以下情形的不得进入考点。</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（1）“辽事通健康码”“通信行程卡”非绿码的；</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（2）拒绝签订《流调信息表暨身体健康状况承诺书》的；</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（3）考试当天有偶发性发热、咳嗽等呼吸道症状者，经复测体温仍高于37.3℃的，或经现场专业评估认定仍需进一步排查的；</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（4）发现存在非偶发性健康异常状况，以及有关接触史、旅居史，按照国家及考生所在地、考点所在地政策要求应该落实隔离、核酸检测等有关措施而未落实到位，尚未具备在考点所在地流动条件的；</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（5）无法按要求提供有关证明材料的。</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情形将视具体情况，严格按照疫情防控政策要求，采取转移至指定地点进行集中隔离医学观察等措施，考生须配合有关安排。一经发现考生瞒报、谎报、漏报疫情防控重点信息，或不配合工作人员询问、排查、检测、送诊等工作，将取消其相应资格，并按有关规定进行处理，构成违法的将依法追究法律责任。</w:t>
      </w:r>
    </w:p>
    <w:p>
      <w:pPr>
        <w:adjustRightInd w:val="0"/>
        <w:snapToGrid w:val="0"/>
        <w:spacing w:line="600" w:lineRule="exact"/>
        <w:ind w:firstLine="643" w:firstLineChars="200"/>
        <w:rPr>
          <w:rFonts w:ascii="黑体" w:hAnsi="黑体" w:eastAsia="黑体" w:cs="方正黑体_GBK"/>
          <w:b/>
          <w:bCs/>
          <w:sz w:val="32"/>
          <w:szCs w:val="32"/>
        </w:rPr>
      </w:pPr>
      <w:r>
        <w:rPr>
          <w:rFonts w:hint="eastAsia" w:ascii="黑体" w:hAnsi="黑体" w:eastAsia="黑体" w:cs="方正黑体_GBK"/>
          <w:b/>
          <w:bCs/>
          <w:sz w:val="32"/>
          <w:szCs w:val="32"/>
        </w:rPr>
        <w:t>二、其他注意事项</w:t>
      </w:r>
    </w:p>
    <w:p>
      <w:pPr>
        <w:adjustRightInd w:val="0"/>
        <w:snapToGrid w:val="0"/>
        <w:spacing w:line="600" w:lineRule="exact"/>
        <w:ind w:firstLine="640" w:firstLineChars="200"/>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1.考生需自备</w:t>
      </w:r>
      <w:r>
        <w:rPr>
          <w:rFonts w:hint="eastAsia" w:ascii="仿宋_GB2312" w:eastAsia="仿宋_GB2312"/>
          <w:sz w:val="32"/>
          <w:szCs w:val="32"/>
        </w:rPr>
        <w:t>一次性使用医用口罩或医用外科口罩</w:t>
      </w:r>
      <w:r>
        <w:rPr>
          <w:rFonts w:hint="eastAsia" w:ascii="仿宋_GB2312" w:hAnsi="方正仿宋_GBK" w:eastAsia="仿宋_GB2312" w:cs="方正仿宋_GBK"/>
          <w:sz w:val="32"/>
          <w:szCs w:val="32"/>
        </w:rPr>
        <w:t>，除身份确认、信息采集环节可摘除口罩外，领取准考证、考试</w:t>
      </w:r>
      <w:r>
        <w:rPr>
          <w:rFonts w:hint="eastAsia" w:ascii="仿宋_GB2312" w:hAnsi="方正仿宋_GBK" w:eastAsia="仿宋_GB2312" w:cs="方正仿宋_GBK"/>
          <w:sz w:val="32"/>
        </w:rPr>
        <w:t>全程均需佩戴口罩</w:t>
      </w:r>
      <w:r>
        <w:rPr>
          <w:rFonts w:hint="eastAsia" w:ascii="仿宋_GB2312" w:hAnsi="方正仿宋_GBK" w:eastAsia="仿宋_GB2312" w:cs="方正仿宋_GBK"/>
          <w:sz w:val="32"/>
          <w:szCs w:val="32"/>
        </w:rPr>
        <w:t>。</w:t>
      </w:r>
    </w:p>
    <w:p>
      <w:pPr>
        <w:adjustRightInd w:val="0"/>
        <w:snapToGrid w:val="0"/>
        <w:spacing w:line="600" w:lineRule="exact"/>
        <w:ind w:firstLine="640" w:firstLineChars="200"/>
        <w:rPr>
          <w:rFonts w:ascii="仿宋_GB2312" w:hAnsi="方正仿宋_GBK" w:eastAsia="仿宋_GB2312" w:cs="方正仿宋_GBK"/>
          <w:sz w:val="32"/>
          <w:szCs w:val="32"/>
        </w:rPr>
      </w:pPr>
      <w:r>
        <w:rPr>
          <w:rFonts w:hint="eastAsia" w:ascii="仿宋_GB2312" w:eastAsia="仿宋_GB2312"/>
          <w:sz w:val="32"/>
          <w:szCs w:val="32"/>
        </w:rPr>
        <w:t>2.考生须全程按照规定流程、路线和工作人员指令活动，不得随意走动和聚集。入场和散场时要有序进入和离开，不得拥挤，及时离场，保持人员间距1米以上。</w:t>
      </w:r>
    </w:p>
    <w:p>
      <w:pPr>
        <w:adjustRightInd w:val="0"/>
        <w:snapToGrid w:val="0"/>
        <w:spacing w:line="600" w:lineRule="exact"/>
        <w:ind w:firstLine="640" w:firstLineChars="200"/>
        <w:rPr>
          <w:rFonts w:ascii="仿宋_GB2312" w:hAnsi="方正仿宋_GBK" w:eastAsia="仿宋_GB2312" w:cs="方正仿宋_GBK"/>
          <w:sz w:val="32"/>
        </w:rPr>
      </w:pPr>
      <w:r>
        <w:rPr>
          <w:rFonts w:hint="eastAsia" w:ascii="仿宋_GB2312" w:hAnsi="方正仿宋_GBK" w:eastAsia="仿宋_GB2312" w:cs="方正仿宋_GBK"/>
          <w:sz w:val="32"/>
          <w:szCs w:val="32"/>
        </w:rPr>
        <w:t>3.考生</w:t>
      </w:r>
      <w:r>
        <w:rPr>
          <w:rFonts w:hint="eastAsia" w:ascii="仿宋_GB2312" w:hAnsi="仿宋_GB2312" w:eastAsia="仿宋_GB2312" w:cs="仿宋_GB2312"/>
          <w:sz w:val="32"/>
          <w:szCs w:val="32"/>
        </w:rPr>
        <w:t>尽可能做到居住地（入住宾馆）与考点之间“两点一线”，</w:t>
      </w:r>
      <w:r>
        <w:rPr>
          <w:rFonts w:hint="eastAsia" w:ascii="仿宋_GB2312" w:hAnsi="方正仿宋_GBK" w:eastAsia="仿宋_GB2312" w:cs="方正仿宋_GBK"/>
          <w:sz w:val="32"/>
          <w:szCs w:val="32"/>
        </w:rPr>
        <w:t>往返考点尽量乘坐私家车或绿色出行，途中需佩戴好口罩。</w:t>
      </w:r>
      <w:r>
        <w:rPr>
          <w:rFonts w:hint="eastAsia" w:ascii="仿宋_GB2312" w:hAnsi="方正仿宋_GBK" w:eastAsia="仿宋_GB2312" w:cs="方正仿宋_GBK"/>
          <w:sz w:val="32"/>
        </w:rPr>
        <w:t>接送考生人员和车辆不得进入考点，不得在考点外聚集和逗留。</w:t>
      </w:r>
    </w:p>
    <w:p>
      <w:pPr>
        <w:adjustRightInd w:val="0"/>
        <w:snapToGrid w:val="0"/>
        <w:spacing w:line="600" w:lineRule="exact"/>
        <w:ind w:firstLine="640" w:firstLineChars="200"/>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4.考生需提前准备好手套、纸巾、速干手消毒剂等防护物资，出入公共场所后需及时做好个人防护。</w:t>
      </w:r>
    </w:p>
    <w:p>
      <w:pPr>
        <w:adjustRightInd w:val="0"/>
        <w:snapToGrid w:val="0"/>
        <w:spacing w:line="600" w:lineRule="exact"/>
        <w:ind w:firstLine="640" w:firstLineChars="200"/>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5.自本告知书发布至考试结束，考生应按照告知书中疫情防控要求，自觉做好个人防护，避免到餐饮、娱乐、商场等聚集性场所，避免乘坐公共交通工具，避免到疫情重点省份或出境，如本人原因导致不能正常参加后续环节的，后果自负。</w:t>
      </w:r>
    </w:p>
    <w:p>
      <w:pPr>
        <w:adjustRightInd w:val="0"/>
        <w:snapToGrid w:val="0"/>
        <w:spacing w:line="600" w:lineRule="exact"/>
        <w:ind w:firstLine="640" w:firstLineChars="200"/>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6.以上防控要求如遇地方疫情防控政策调整，按最新政策执行。</w:t>
      </w:r>
    </w:p>
    <w:p>
      <w:pPr>
        <w:adjustRightInd w:val="0"/>
        <w:snapToGrid w:val="0"/>
        <w:spacing w:line="600" w:lineRule="exact"/>
        <w:ind w:firstLine="643" w:firstLineChars="200"/>
        <w:rPr>
          <w:rFonts w:ascii="黑体" w:hAnsi="黑体" w:eastAsia="黑体" w:cs="方正黑体_GBK"/>
          <w:b/>
          <w:bCs/>
          <w:sz w:val="32"/>
          <w:szCs w:val="32"/>
        </w:rPr>
      </w:pPr>
      <w:r>
        <w:rPr>
          <w:rFonts w:hint="eastAsia" w:ascii="黑体" w:hAnsi="黑体" w:eastAsia="黑体" w:cs="方正黑体_GBK"/>
          <w:b/>
          <w:bCs/>
          <w:sz w:val="32"/>
          <w:szCs w:val="32"/>
        </w:rPr>
        <w:t>三、考生承诺须知</w:t>
      </w:r>
    </w:p>
    <w:p>
      <w:pPr>
        <w:adjustRightInd w:val="0"/>
        <w:snapToGrid w:val="0"/>
        <w:spacing w:line="600" w:lineRule="exact"/>
        <w:ind w:firstLine="640" w:firstLineChars="200"/>
        <w:rPr>
          <w:rFonts w:ascii="仿宋_GB2312" w:eastAsia="仿宋_GB2312"/>
          <w:kern w:val="0"/>
          <w:sz w:val="32"/>
          <w:szCs w:val="32"/>
        </w:rPr>
      </w:pPr>
      <w:r>
        <w:rPr>
          <w:rFonts w:hint="eastAsia" w:ascii="仿宋_GB2312" w:hAnsi="方正仿宋_GBK" w:eastAsia="仿宋_GB2312" w:cs="方正仿宋_GBK"/>
          <w:sz w:val="32"/>
          <w:szCs w:val="32"/>
        </w:rPr>
        <w:t>领取准考证前，考生应认真阅读</w:t>
      </w:r>
      <w:r>
        <w:rPr>
          <w:rFonts w:hint="eastAsia" w:ascii="仿宋_GB2312" w:hAnsi="方正仿宋_GBK" w:eastAsia="仿宋_GB2312" w:cs="方正仿宋_GBK"/>
          <w:kern w:val="0"/>
          <w:sz w:val="32"/>
          <w:szCs w:val="32"/>
        </w:rPr>
        <w:t>本告知书暨承诺书，知悉告知事项、证明义务和防疫要求。同时，</w:t>
      </w:r>
      <w:r>
        <w:rPr>
          <w:rFonts w:hint="eastAsia" w:ascii="仿宋_GB2312" w:eastAsia="仿宋_GB2312"/>
          <w:sz w:val="32"/>
          <w:szCs w:val="32"/>
        </w:rPr>
        <w:t>考生要自觉通过主流媒体和官方渠道了解疫情防控最新政策要求和常识，知晓防疫措施、个人防护注意事项等。</w:t>
      </w:r>
      <w:r>
        <w:rPr>
          <w:rFonts w:hint="eastAsia" w:ascii="仿宋_GB2312" w:hAnsi="方正仿宋_GBK" w:eastAsia="仿宋_GB2312" w:cs="方正仿宋_GBK"/>
          <w:kern w:val="0"/>
          <w:sz w:val="32"/>
          <w:szCs w:val="32"/>
        </w:rPr>
        <w:t>考生前来领取准考证、考试，即代表做出以下承诺：</w:t>
      </w:r>
      <w:r>
        <w:rPr>
          <w:rFonts w:hint="eastAsia" w:ascii="仿宋_GB2312" w:hAnsi="方正仿宋_GBK" w:eastAsia="仿宋_GB2312" w:cs="方正仿宋_GBK"/>
          <w:b/>
          <w:kern w:val="0"/>
          <w:sz w:val="32"/>
          <w:szCs w:val="32"/>
        </w:rPr>
        <w:t>本人已认真阅读《2022年招聘高校毕业生（第一批）考试新冠肺炎疫情防控告知书暨个人承诺书</w:t>
      </w:r>
      <w:bookmarkStart w:id="0" w:name="_GoBack"/>
      <w:bookmarkEnd w:id="0"/>
      <w:r>
        <w:rPr>
          <w:rFonts w:hint="eastAsia" w:ascii="仿宋_GB2312" w:hAnsi="方正仿宋_GBK" w:eastAsia="仿宋_GB2312" w:cs="方正仿宋_GBK"/>
          <w:b/>
          <w:kern w:val="0"/>
          <w:sz w:val="32"/>
          <w:szCs w:val="32"/>
        </w:rPr>
        <w:t>》</w:t>
      </w:r>
      <w:r>
        <w:rPr>
          <w:rFonts w:hint="eastAsia" w:ascii="仿宋_GB2312" w:hAnsi="仿宋_GB2312" w:eastAsia="仿宋_GB2312" w:cs="仿宋_GB2312"/>
          <w:b/>
          <w:kern w:val="0"/>
          <w:sz w:val="32"/>
          <w:szCs w:val="32"/>
        </w:rPr>
        <w:t>，</w:t>
      </w:r>
      <w:r>
        <w:rPr>
          <w:rFonts w:hint="eastAsia" w:ascii="仿宋_GB2312" w:hAnsi="方正仿宋_GBK" w:eastAsia="仿宋_GB2312" w:cs="方正仿宋_GBK"/>
          <w:b/>
          <w:kern w:val="0"/>
          <w:sz w:val="32"/>
          <w:szCs w:val="32"/>
        </w:rPr>
        <w:t>知悉告知事项、证明义务和防疫要求。</w:t>
      </w:r>
      <w:r>
        <w:rPr>
          <w:rFonts w:hint="eastAsia" w:ascii="仿宋_GB2312" w:eastAsia="仿宋_GB2312"/>
          <w:b/>
          <w:sz w:val="32"/>
          <w:szCs w:val="32"/>
        </w:rPr>
        <w:t>自觉通过主流媒体和官方渠道了解疫情防控最新政策要求和常识，知晓防疫措施、个人防护注意事项等。</w:t>
      </w:r>
      <w:r>
        <w:rPr>
          <w:rFonts w:hint="eastAsia" w:ascii="仿宋_GB2312" w:hAnsi="方正仿宋_GBK" w:eastAsia="仿宋_GB2312" w:cs="方正仿宋_GBK"/>
          <w:b/>
          <w:kern w:val="0"/>
          <w:sz w:val="32"/>
          <w:szCs w:val="32"/>
        </w:rPr>
        <w:t>在此郑重承诺：本人</w:t>
      </w:r>
      <w:r>
        <w:rPr>
          <w:rFonts w:hint="eastAsia" w:ascii="仿宋_GB2312" w:hAnsi="仿宋_GB2312" w:eastAsia="仿宋_GB2312" w:cs="仿宋_GB2312"/>
          <w:b/>
          <w:bCs/>
          <w:sz w:val="32"/>
          <w:szCs w:val="32"/>
        </w:rPr>
        <w:t>对个人身体健康情况的真实性负责，</w:t>
      </w:r>
      <w:r>
        <w:rPr>
          <w:rFonts w:hint="eastAsia" w:ascii="仿宋_GB2312" w:hAnsi="方正仿宋_GBK" w:eastAsia="仿宋_GB2312" w:cs="方正仿宋_GBK"/>
          <w:b/>
          <w:kern w:val="0"/>
          <w:sz w:val="32"/>
          <w:szCs w:val="32"/>
        </w:rPr>
        <w:t>填报、提交和现场出示的所有信息（证明）均真实、准确、完整、有效，并保证配合做好疫情防控有关工作。如有违反，本人自愿承担有关责任、接受相应处理。</w:t>
      </w:r>
      <w:r>
        <w:rPr>
          <w:rFonts w:hint="eastAsia" w:ascii="仿宋_GB2312" w:eastAsia="仿宋_GB2312"/>
          <w:kern w:val="0"/>
          <w:sz w:val="32"/>
          <w:szCs w:val="32"/>
        </w:rPr>
        <w:t xml:space="preserve">    </w:t>
      </w: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jc w:val="center"/>
        <w:rPr>
          <w:b/>
          <w:sz w:val="44"/>
        </w:rPr>
      </w:pPr>
    </w:p>
    <w:p>
      <w:pPr>
        <w:adjustRightInd w:val="0"/>
        <w:snapToGrid w:val="0"/>
        <w:spacing w:line="600" w:lineRule="exact"/>
        <w:rPr>
          <w:rFonts w:hint="eastAsia"/>
          <w:b/>
          <w:sz w:val="44"/>
        </w:rPr>
      </w:pPr>
    </w:p>
    <w:tbl>
      <w:tblPr>
        <w:tblStyle w:val="2"/>
        <w:tblW w:w="9036" w:type="dxa"/>
        <w:tblInd w:w="-362" w:type="dxa"/>
        <w:tblLayout w:type="fixed"/>
        <w:tblCellMar>
          <w:top w:w="15" w:type="dxa"/>
          <w:left w:w="15" w:type="dxa"/>
          <w:bottom w:w="15" w:type="dxa"/>
          <w:right w:w="15" w:type="dxa"/>
        </w:tblCellMar>
      </w:tblPr>
      <w:tblGrid>
        <w:gridCol w:w="876"/>
        <w:gridCol w:w="3132"/>
        <w:gridCol w:w="5028"/>
      </w:tblGrid>
      <w:tr>
        <w:tblPrEx>
          <w:tblLayout w:type="fixed"/>
          <w:tblCellMar>
            <w:top w:w="15" w:type="dxa"/>
            <w:left w:w="15" w:type="dxa"/>
            <w:bottom w:w="15" w:type="dxa"/>
            <w:right w:w="15" w:type="dxa"/>
          </w:tblCellMar>
        </w:tblPrEx>
        <w:trPr>
          <w:trHeight w:val="450" w:hRule="atLeast"/>
        </w:trPr>
        <w:tc>
          <w:tcPr>
            <w:tcW w:w="9036" w:type="dxa"/>
            <w:gridSpan w:val="3"/>
            <w:vAlign w:val="center"/>
          </w:tcPr>
          <w:p>
            <w:pPr>
              <w:adjustRightInd w:val="0"/>
              <w:snapToGrid w:val="0"/>
              <w:spacing w:line="600" w:lineRule="exact"/>
              <w:jc w:val="center"/>
              <w:rPr>
                <w:rFonts w:ascii="黑体" w:hAnsi="黑体" w:eastAsia="黑体" w:cs="宋体"/>
                <w:b/>
                <w:color w:val="000000"/>
                <w:sz w:val="36"/>
                <w:szCs w:val="36"/>
              </w:rPr>
            </w:pPr>
            <w:r>
              <w:rPr>
                <w:rFonts w:hint="eastAsia" w:ascii="黑体" w:hAnsi="黑体" w:eastAsia="黑体" w:cs="方正小标宋_GBK"/>
                <w:b w:val="0"/>
                <w:bCs/>
                <w:color w:val="000000"/>
                <w:kern w:val="0"/>
                <w:sz w:val="44"/>
                <w:szCs w:val="44"/>
              </w:rPr>
              <w:t>考生个人健康材料清单</w:t>
            </w:r>
          </w:p>
        </w:tc>
      </w:tr>
      <w:tr>
        <w:tblPrEx>
          <w:tblLayout w:type="fixed"/>
          <w:tblCellMar>
            <w:top w:w="15" w:type="dxa"/>
            <w:left w:w="15" w:type="dxa"/>
            <w:bottom w:w="15" w:type="dxa"/>
            <w:right w:w="15" w:type="dxa"/>
          </w:tblCellMar>
        </w:tblPrEx>
        <w:trPr>
          <w:trHeight w:val="450" w:hRule="atLeast"/>
        </w:trPr>
        <w:tc>
          <w:tcPr>
            <w:tcW w:w="876" w:type="dxa"/>
            <w:vAlign w:val="center"/>
          </w:tcPr>
          <w:p>
            <w:pPr>
              <w:adjustRightInd w:val="0"/>
              <w:snapToGrid w:val="0"/>
              <w:spacing w:line="600" w:lineRule="exact"/>
              <w:jc w:val="center"/>
              <w:rPr>
                <w:rFonts w:ascii="宋体" w:hAnsi="宋体" w:cs="宋体"/>
                <w:b/>
                <w:color w:val="000000"/>
                <w:sz w:val="36"/>
                <w:szCs w:val="36"/>
              </w:rPr>
            </w:pPr>
          </w:p>
        </w:tc>
        <w:tc>
          <w:tcPr>
            <w:tcW w:w="3132" w:type="dxa"/>
            <w:vAlign w:val="center"/>
          </w:tcPr>
          <w:p>
            <w:pPr>
              <w:adjustRightInd w:val="0"/>
              <w:snapToGrid w:val="0"/>
              <w:spacing w:line="600" w:lineRule="exact"/>
              <w:jc w:val="center"/>
              <w:rPr>
                <w:rFonts w:ascii="宋体" w:hAnsi="宋体" w:cs="宋体"/>
                <w:b/>
                <w:color w:val="000000"/>
                <w:sz w:val="36"/>
                <w:szCs w:val="36"/>
              </w:rPr>
            </w:pPr>
          </w:p>
        </w:tc>
        <w:tc>
          <w:tcPr>
            <w:tcW w:w="5028" w:type="dxa"/>
            <w:vAlign w:val="center"/>
          </w:tcPr>
          <w:p>
            <w:pPr>
              <w:adjustRightInd w:val="0"/>
              <w:snapToGrid w:val="0"/>
              <w:spacing w:line="600" w:lineRule="exact"/>
              <w:jc w:val="center"/>
              <w:rPr>
                <w:rFonts w:ascii="宋体" w:hAnsi="宋体" w:cs="宋体"/>
                <w:b/>
                <w:color w:val="000000"/>
                <w:sz w:val="36"/>
                <w:szCs w:val="36"/>
              </w:rPr>
            </w:pP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b/>
                <w:color w:val="000000"/>
                <w:sz w:val="22"/>
              </w:rPr>
            </w:pPr>
            <w:r>
              <w:rPr>
                <w:rFonts w:hint="eastAsia" w:ascii="宋体" w:hAnsi="宋体" w:eastAsia="宋体" w:cs="方正仿宋_GBK"/>
                <w:b/>
                <w:color w:val="000000"/>
                <w:kern w:val="0"/>
                <w:sz w:val="22"/>
              </w:rPr>
              <w:t>序号</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b/>
                <w:color w:val="000000"/>
                <w:sz w:val="22"/>
              </w:rPr>
            </w:pPr>
            <w:r>
              <w:rPr>
                <w:rFonts w:hint="eastAsia" w:ascii="宋体" w:hAnsi="宋体" w:eastAsia="宋体" w:cs="方正仿宋_GBK"/>
                <w:b/>
                <w:color w:val="000000"/>
                <w:kern w:val="0"/>
                <w:sz w:val="22"/>
              </w:rPr>
              <w:t>名    称</w:t>
            </w:r>
          </w:p>
        </w:tc>
        <w:tc>
          <w:tcPr>
            <w:tcW w:w="502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b/>
                <w:color w:val="000000"/>
                <w:sz w:val="22"/>
              </w:rPr>
            </w:pPr>
            <w:r>
              <w:rPr>
                <w:rFonts w:hint="eastAsia" w:ascii="宋体" w:hAnsi="宋体" w:eastAsia="宋体" w:cs="方正仿宋_GBK"/>
                <w:b/>
                <w:color w:val="000000"/>
                <w:kern w:val="0"/>
                <w:sz w:val="22"/>
              </w:rPr>
              <w:t>备注</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1</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辽事通健康码绿码</w:t>
            </w:r>
          </w:p>
        </w:tc>
        <w:tc>
          <w:tcPr>
            <w:tcW w:w="502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全体人员</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2</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通信行程卡绿码</w:t>
            </w:r>
          </w:p>
        </w:tc>
        <w:tc>
          <w:tcPr>
            <w:tcW w:w="502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全体人员</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sz w:val="22"/>
              </w:rPr>
              <w:t>3</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center"/>
              <w:textAlignment w:val="center"/>
              <w:rPr>
                <w:rFonts w:ascii="宋体" w:hAnsi="宋体" w:eastAsia="宋体" w:cs="方正仿宋_GBK"/>
                <w:color w:val="000000"/>
                <w:kern w:val="0"/>
                <w:sz w:val="22"/>
              </w:rPr>
            </w:pPr>
            <w:r>
              <w:rPr>
                <w:rFonts w:hint="eastAsia" w:ascii="宋体" w:hAnsi="宋体" w:eastAsia="宋体" w:cs="方正仿宋_GBK"/>
                <w:color w:val="000000"/>
                <w:kern w:val="0"/>
                <w:sz w:val="22"/>
              </w:rPr>
              <w:t>流调信息表暨身体健康</w:t>
            </w:r>
          </w:p>
          <w:p>
            <w:pPr>
              <w:widowControl/>
              <w:adjustRightInd w:val="0"/>
              <w:snapToGrid w:val="0"/>
              <w:spacing w:line="240" w:lineRule="atLeas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状况承诺书</w:t>
            </w:r>
          </w:p>
        </w:tc>
        <w:tc>
          <w:tcPr>
            <w:tcW w:w="502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全体人员</w:t>
            </w:r>
          </w:p>
        </w:tc>
      </w:tr>
      <w:tr>
        <w:tblPrEx>
          <w:tblLayout w:type="fixed"/>
          <w:tblCellMar>
            <w:top w:w="15" w:type="dxa"/>
            <w:left w:w="15" w:type="dxa"/>
            <w:bottom w:w="15" w:type="dxa"/>
            <w:right w:w="15" w:type="dxa"/>
          </w:tblCellMar>
        </w:tblPrEx>
        <w:trPr>
          <w:trHeight w:val="65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sz w:val="22"/>
              </w:rPr>
              <w:t>4</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center"/>
              <w:textAlignment w:val="center"/>
              <w:rPr>
                <w:rFonts w:ascii="宋体" w:hAnsi="宋体" w:eastAsia="宋体" w:cs="方正仿宋_GBK"/>
                <w:color w:val="000000"/>
                <w:kern w:val="0"/>
                <w:sz w:val="22"/>
              </w:rPr>
            </w:pPr>
            <w:r>
              <w:rPr>
                <w:rFonts w:hint="eastAsia" w:ascii="宋体" w:hAnsi="宋体" w:eastAsia="宋体" w:cs="方正仿宋_GBK"/>
                <w:color w:val="000000"/>
                <w:kern w:val="0"/>
                <w:sz w:val="22"/>
              </w:rPr>
              <w:t>48小时内核酸检测</w:t>
            </w:r>
          </w:p>
          <w:p>
            <w:pPr>
              <w:widowControl/>
              <w:adjustRightInd w:val="0"/>
              <w:snapToGrid w:val="0"/>
              <w:spacing w:line="240" w:lineRule="atLeast"/>
              <w:jc w:val="center"/>
              <w:textAlignment w:val="center"/>
              <w:rPr>
                <w:rFonts w:ascii="宋体" w:hAnsi="宋体" w:eastAsia="宋体" w:cs="方正仿宋_GBK"/>
                <w:color w:val="000000"/>
                <w:sz w:val="22"/>
              </w:rPr>
            </w:pPr>
            <w:r>
              <w:rPr>
                <w:rFonts w:hint="eastAsia" w:ascii="宋体" w:hAnsi="宋体" w:eastAsia="宋体" w:cs="方正仿宋_GBK"/>
                <w:color w:val="000000"/>
                <w:kern w:val="0"/>
                <w:sz w:val="22"/>
              </w:rPr>
              <w:t>阴性证明</w:t>
            </w:r>
          </w:p>
        </w:tc>
        <w:tc>
          <w:tcPr>
            <w:tcW w:w="502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center"/>
              <w:textAlignment w:val="center"/>
              <w:rPr>
                <w:rFonts w:ascii="宋体" w:hAnsi="宋体" w:eastAsia="宋体" w:cs="方正仿宋_GBK"/>
                <w:color w:val="000000"/>
                <w:kern w:val="0"/>
                <w:sz w:val="22"/>
              </w:rPr>
            </w:pPr>
            <w:r>
              <w:rPr>
                <w:rFonts w:hint="eastAsia" w:ascii="宋体" w:hAnsi="宋体" w:eastAsia="宋体" w:cs="方正仿宋_GBK"/>
                <w:color w:val="000000"/>
                <w:kern w:val="0"/>
                <w:sz w:val="22"/>
              </w:rPr>
              <w:t>全体人员</w:t>
            </w:r>
          </w:p>
        </w:tc>
      </w:tr>
      <w:tr>
        <w:tblPrEx>
          <w:tblLayout w:type="fixed"/>
          <w:tblCellMar>
            <w:top w:w="15" w:type="dxa"/>
            <w:left w:w="15" w:type="dxa"/>
            <w:bottom w:w="15" w:type="dxa"/>
            <w:right w:w="15" w:type="dxa"/>
          </w:tblCellMar>
        </w:tblPrEx>
        <w:trPr>
          <w:trHeight w:val="1950"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sz w:val="22"/>
              </w:rPr>
              <w:t>5</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left"/>
              <w:textAlignment w:val="center"/>
              <w:rPr>
                <w:rFonts w:ascii="宋体" w:hAnsi="宋体" w:eastAsia="宋体" w:cs="方正仿宋_GBK"/>
                <w:color w:val="000000"/>
                <w:kern w:val="0"/>
                <w:sz w:val="22"/>
              </w:rPr>
            </w:pPr>
            <w:r>
              <w:rPr>
                <w:rFonts w:hint="eastAsia" w:ascii="宋体" w:hAnsi="宋体" w:eastAsia="宋体" w:cs="方正仿宋_GBK"/>
                <w:color w:val="000000"/>
                <w:kern w:val="0"/>
                <w:sz w:val="22"/>
              </w:rPr>
              <w:t>最后一次入境的出入境证件或出入境查询记录</w:t>
            </w:r>
          </w:p>
        </w:tc>
        <w:tc>
          <w:tcPr>
            <w:tcW w:w="502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left"/>
              <w:textAlignment w:val="center"/>
              <w:rPr>
                <w:rFonts w:ascii="宋体" w:hAnsi="宋体" w:eastAsia="宋体" w:cs="方正仿宋_GBK"/>
                <w:color w:val="000000"/>
                <w:kern w:val="0"/>
                <w:sz w:val="22"/>
              </w:rPr>
            </w:pPr>
            <w:r>
              <w:rPr>
                <w:rFonts w:hint="eastAsia" w:ascii="宋体" w:hAnsi="宋体" w:eastAsia="宋体" w:cs="方正仿宋_GBK"/>
                <w:color w:val="000000"/>
                <w:kern w:val="0"/>
                <w:sz w:val="22"/>
              </w:rPr>
              <w:t>2021年10月1日以来有境外旅居史的考生和留学生</w:t>
            </w:r>
          </w:p>
        </w:tc>
      </w:tr>
      <w:tr>
        <w:tblPrEx>
          <w:tblLayout w:type="fixed"/>
          <w:tblCellMar>
            <w:top w:w="15" w:type="dxa"/>
            <w:left w:w="15" w:type="dxa"/>
            <w:bottom w:w="15" w:type="dxa"/>
            <w:right w:w="15" w:type="dxa"/>
          </w:tblCellMar>
        </w:tblPrEx>
        <w:trPr>
          <w:trHeight w:val="855"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600" w:lineRule="exact"/>
              <w:jc w:val="center"/>
              <w:textAlignment w:val="center"/>
              <w:rPr>
                <w:rFonts w:ascii="宋体" w:hAnsi="宋体" w:eastAsia="宋体" w:cs="方正仿宋_GBK"/>
                <w:color w:val="000000"/>
                <w:sz w:val="22"/>
              </w:rPr>
            </w:pPr>
            <w:r>
              <w:rPr>
                <w:rFonts w:hint="eastAsia" w:ascii="宋体" w:hAnsi="宋体" w:eastAsia="宋体" w:cs="方正仿宋_GBK"/>
                <w:color w:val="000000"/>
                <w:sz w:val="22"/>
              </w:rPr>
              <w:t>6</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left"/>
              <w:textAlignment w:val="center"/>
              <w:rPr>
                <w:rFonts w:ascii="宋体" w:hAnsi="宋体" w:eastAsia="宋体" w:cs="方正仿宋_GBK"/>
                <w:color w:val="000000"/>
                <w:kern w:val="0"/>
                <w:sz w:val="22"/>
              </w:rPr>
            </w:pPr>
            <w:r>
              <w:rPr>
                <w:rFonts w:hint="eastAsia" w:ascii="宋体" w:hAnsi="宋体" w:eastAsia="宋体" w:cs="方正仿宋_GBK"/>
                <w:color w:val="000000"/>
                <w:kern w:val="0"/>
                <w:sz w:val="22"/>
              </w:rPr>
              <w:t>最后一次入境解除隔离证明、隔离核酸阴性检测报告等有关佐证材料</w:t>
            </w:r>
          </w:p>
        </w:tc>
        <w:tc>
          <w:tcPr>
            <w:tcW w:w="502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240" w:lineRule="atLeast"/>
              <w:jc w:val="left"/>
              <w:textAlignment w:val="center"/>
              <w:rPr>
                <w:rFonts w:ascii="宋体" w:hAnsi="宋体" w:eastAsia="宋体" w:cs="方正仿宋_GBK"/>
                <w:color w:val="000000"/>
                <w:kern w:val="0"/>
                <w:sz w:val="22"/>
              </w:rPr>
            </w:pPr>
            <w:r>
              <w:rPr>
                <w:rFonts w:hint="eastAsia" w:ascii="宋体" w:hAnsi="宋体" w:eastAsia="宋体" w:cs="方正仿宋_GBK"/>
                <w:color w:val="000000"/>
                <w:kern w:val="0"/>
                <w:sz w:val="22"/>
              </w:rPr>
              <w:t>2021年10月1日以来有境外旅居史的考生和留学生</w:t>
            </w:r>
          </w:p>
        </w:tc>
      </w:tr>
    </w:tbl>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sz w:val="32"/>
          <w:szCs w:val="32"/>
        </w:rPr>
      </w:pPr>
    </w:p>
    <w:p>
      <w:pPr>
        <w:adjustRightInd w:val="0"/>
        <w:snapToGrid w:val="0"/>
        <w:spacing w:line="580" w:lineRule="exact"/>
        <w:rPr>
          <w:rFonts w:ascii="仿宋_GB2312" w:eastAsia="仿宋_GB2312"/>
          <w:sz w:val="32"/>
          <w:szCs w:val="32"/>
        </w:rPr>
      </w:pPr>
      <w:r>
        <w:rPr>
          <w:rFonts w:hint="eastAsia" w:ascii="仿宋_GB2312" w:eastAsia="仿宋_GB2312"/>
          <w:sz w:val="32"/>
          <w:szCs w:val="32"/>
        </w:rPr>
        <w:t>附2</w:t>
      </w:r>
    </w:p>
    <w:p>
      <w:pPr>
        <w:adjustRightInd w:val="0"/>
        <w:snapToGrid w:val="0"/>
        <w:spacing w:line="580" w:lineRule="exact"/>
        <w:rPr>
          <w:rFonts w:hint="eastAsia" w:ascii="仿宋_GB2312" w:eastAsia="仿宋_GB2312"/>
          <w:sz w:val="32"/>
          <w:szCs w:val="32"/>
        </w:rPr>
      </w:pPr>
      <w:r>
        <w:rPr>
          <w:rFonts w:hint="eastAsia" w:ascii="仿宋_GB2312" w:eastAsia="仿宋_GB2312"/>
          <w:sz w:val="32"/>
          <w:szCs w:val="32"/>
        </w:rPr>
        <w:drawing>
          <wp:anchor distT="0" distB="0" distL="114300" distR="114300" simplePos="0" relativeHeight="251658240" behindDoc="0" locked="0" layoutInCell="1" allowOverlap="1">
            <wp:simplePos x="0" y="0"/>
            <wp:positionH relativeFrom="margin">
              <wp:align>center</wp:align>
            </wp:positionH>
            <wp:positionV relativeFrom="paragraph">
              <wp:posOffset>85725</wp:posOffset>
            </wp:positionV>
            <wp:extent cx="4112895" cy="8406130"/>
            <wp:effectExtent l="0" t="0" r="1905" b="0"/>
            <wp:wrapSquare wrapText="bothSides"/>
            <wp:docPr id="1"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 表格&#10;&#10;描述已自动生成"/>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4112895" cy="8406130"/>
                    </a:xfrm>
                    <a:prstGeom prst="rect">
                      <a:avLst/>
                    </a:prstGeom>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511"/>
    <w:multiLevelType w:val="multilevel"/>
    <w:tmpl w:val="03F9151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1C86B77"/>
    <w:multiLevelType w:val="singleLevel"/>
    <w:tmpl w:val="61C86B77"/>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02"/>
    <w:rsid w:val="00237E4F"/>
    <w:rsid w:val="005368EA"/>
    <w:rsid w:val="006861C8"/>
    <w:rsid w:val="00931547"/>
    <w:rsid w:val="00B14C72"/>
    <w:rsid w:val="00D70CA3"/>
    <w:rsid w:val="00E02E86"/>
    <w:rsid w:val="00E71E02"/>
    <w:rsid w:val="00EB4E84"/>
    <w:rsid w:val="05956511"/>
    <w:rsid w:val="0FDC3FB8"/>
    <w:rsid w:val="1086695C"/>
    <w:rsid w:val="136E1E99"/>
    <w:rsid w:val="17025079"/>
    <w:rsid w:val="190968D7"/>
    <w:rsid w:val="1D440E3E"/>
    <w:rsid w:val="1E362C6E"/>
    <w:rsid w:val="316E6704"/>
    <w:rsid w:val="33C3782F"/>
    <w:rsid w:val="34863121"/>
    <w:rsid w:val="3752293E"/>
    <w:rsid w:val="39940C70"/>
    <w:rsid w:val="39E720A1"/>
    <w:rsid w:val="3A2E5A4C"/>
    <w:rsid w:val="3BCE251A"/>
    <w:rsid w:val="3CB7725B"/>
    <w:rsid w:val="3D1E5FA8"/>
    <w:rsid w:val="413F3E08"/>
    <w:rsid w:val="4B2911F6"/>
    <w:rsid w:val="4D5637F7"/>
    <w:rsid w:val="5C672A18"/>
    <w:rsid w:val="6C952C21"/>
    <w:rsid w:val="6DD81C25"/>
    <w:rsid w:val="73FA65DE"/>
    <w:rsid w:val="76D34277"/>
    <w:rsid w:val="7DBD0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487</Words>
  <Characters>2780</Characters>
  <Lines>23</Lines>
  <Paragraphs>6</Paragraphs>
  <TotalTime>5</TotalTime>
  <ScaleCrop>false</ScaleCrop>
  <LinksUpToDate>false</LinksUpToDate>
  <CharactersWithSpaces>3261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2020-06-27T09:35:00Z</dcterms:created>
  <dc:creator>sgcc</dc:creator>
  <cp:lastModifiedBy>李敏</cp:lastModifiedBy>
  <cp:lastPrinted>2021-12-27T13:33:00Z</cp:lastPrinted>
  <dcterms:modified xsi:type="dcterms:W3CDTF">2021-12-27T13:55:07Z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