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F6" w:rsidRDefault="0049745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F7FF6" w:rsidRDefault="00F10FC8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F10FC8">
        <w:rPr>
          <w:rFonts w:hint="eastAsia"/>
        </w:rPr>
        <w:fldChar w:fldCharType="begin"/>
      </w:r>
      <w:r w:rsidR="00497457">
        <w:instrText xml:space="preserve"> HYPERLINK "http://www.xjbt.gov.cn/zcms/contentcore/resource/download?ID=393211" \t "http://btpta.xjbt.gov.cn/c/2019-08-19/_blank" \o "</w:instrText>
      </w:r>
      <w:r w:rsidR="00497457">
        <w:instrText>兵直事业单位招聘岗位表</w:instrText>
      </w:r>
      <w:r w:rsidR="00497457">
        <w:instrText xml:space="preserve">" </w:instrText>
      </w:r>
      <w:r w:rsidRPr="00F10FC8">
        <w:rPr>
          <w:rFonts w:hint="eastAsia"/>
        </w:rPr>
        <w:fldChar w:fldCharType="separate"/>
      </w:r>
      <w:r w:rsidR="0049745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2020年兵团兴新职业技术学院、兵团党委编办电子政务中心</w:t>
      </w:r>
    </w:p>
    <w:p w:rsidR="004F7FF6" w:rsidRDefault="00497457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面向社会公开招聘工作人员岗位表</w:t>
      </w:r>
      <w:r w:rsidR="00F10FC8">
        <w:rPr>
          <w:rFonts w:ascii="方正小标宋简体" w:eastAsia="方正小标宋简体" w:hint="eastAsia"/>
          <w:sz w:val="44"/>
          <w:szCs w:val="44"/>
        </w:rPr>
        <w:fldChar w:fldCharType="end"/>
      </w:r>
    </w:p>
    <w:tbl>
      <w:tblPr>
        <w:tblStyle w:val="a6"/>
        <w:tblW w:w="14561" w:type="dxa"/>
        <w:tblLayout w:type="fixed"/>
        <w:tblLook w:val="04A0"/>
      </w:tblPr>
      <w:tblGrid>
        <w:gridCol w:w="512"/>
        <w:gridCol w:w="1312"/>
        <w:gridCol w:w="836"/>
        <w:gridCol w:w="679"/>
        <w:gridCol w:w="1140"/>
        <w:gridCol w:w="1965"/>
        <w:gridCol w:w="3330"/>
        <w:gridCol w:w="990"/>
        <w:gridCol w:w="1363"/>
        <w:gridCol w:w="1217"/>
        <w:gridCol w:w="1217"/>
      </w:tblGrid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ind w:firstLineChars="49" w:firstLine="8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</w:t>
            </w:r>
          </w:p>
          <w:p w:rsidR="004F7FF6" w:rsidRDefault="00497457">
            <w:pPr>
              <w:ind w:firstLineChars="49" w:firstLine="89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是否笔试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工作地点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兵团党委编办电子政务中心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计算机类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乌鲁木齐市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负责电子政务服务管理工作</w:t>
            </w: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兵团党委编办电子政务中心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2020302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乌鲁木齐市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负责电子政务服务管理工作</w:t>
            </w: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电气工程、电力系统及其自动化、电力电子与电力传动、控制工程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2020303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交通运输工程、交通信息工程与控制、交通运输规划与管理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2020304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化工教师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化学工程、化学工艺、化学工程与技术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2020305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800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土木教师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结构工程、市政工程、建筑与土木工程、水利工程、水工结构工程、水利水电工程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2020306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7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建筑学、城市规划、城市规划与设计、风景园林学、建筑设计及其理论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2020307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旅游教师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旅游管理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2020308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计算机科学与技术、计算机应用技术、软件工程、计算机与信息管理、计算机技术、应用软件工程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2020309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通信与信息系统、电子与通信工程、计算机软件与管理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2020310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会计学、财务管理、审计学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工商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工商管理</w:t>
            </w:r>
            <w:r>
              <w:rPr>
                <w:rFonts w:ascii="仿宋_GB2312" w:eastAsia="仿宋_GB2312" w:hint="eastAsia"/>
                <w:szCs w:val="21"/>
              </w:rPr>
              <w:t>、市场营销管理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2020312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思政教师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思想政治教育、社会学、马克思主义民族理论与政策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2020313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14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历史教师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中国近现代史、中国史、世界史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2020314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英语语言文学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2020315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语文教师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汉语言文字学、文学阅读与文学教育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2020316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音乐学、音乐与舞蹈学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2020317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美术教师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美术学、艺术硕士专业（美术）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2020318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570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辅导员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思想政治教育、社会学、民族学、政治学理论、法学优先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2020319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540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人事处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</w:rPr>
              <w:t>人力资源管理、统计学、社会保障、公共政策学优先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2020320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教务员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教育学、教育技术学、职业技术教育学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科研处干事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教育学、高等教育学、教育学原理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2020322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培训部干事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作物学、作物栽培学与耕作学、畜牧学、植物保护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2020323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24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办公室文秘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全日制硕士及以上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汉语言文字学、语言学及应用语言学、社会学、行政管理、新闻学专业优先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2020324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汽车教师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汽车维修工程教育（钣金方向）、汽车服务工程、车辆工程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2020325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造价教师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３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工程造价、工程造价管理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2020326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1001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计算机科学与技术、计算机网络技术、计算机应用、计算机多媒体技术、信息与计算机科学、软件工程等计算机类专业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2020327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电竞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计算机类专业优先（有电竞特长）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2020328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会计、财务管理、审计学、会计电算化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2020329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电商</w:t>
            </w:r>
            <w:r>
              <w:rPr>
                <w:rFonts w:ascii="仿宋_GB2312" w:eastAsia="仿宋_GB2312"/>
                <w:szCs w:val="21"/>
              </w:rPr>
              <w:t>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电子商务</w:t>
            </w:r>
            <w:r>
              <w:rPr>
                <w:rFonts w:ascii="仿宋_GB2312" w:eastAsia="仿宋_GB2312" w:hint="eastAsia"/>
                <w:szCs w:val="21"/>
              </w:rPr>
              <w:t>、物流管理相关</w:t>
            </w: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2020330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烹饪教师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具有全日制专科及以上学历且具有本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工种技师以上的资格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烹调工艺与营养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32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护理教师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护理学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2020332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体育教师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体育教育、社会体育指导与管理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2020333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数学教师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数学与应用数学、数理基础科学、物理专业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2020334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安全防范工程，安全防范技术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2020335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化工教师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化学工程与工艺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2020336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心理教师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widowControl/>
              <w:spacing w:line="230" w:lineRule="exact"/>
              <w:jc w:val="center"/>
              <w:textAlignment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心理学、应用心理学、基础心理学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2020337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信息中心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计算机网络技术、网络工程、网络技术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2020338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570"/>
        </w:trPr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图书馆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图书馆、计算机科学技术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2020339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计财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处会计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35周岁及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会计、会计学、财务会计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202034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0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c>
          <w:tcPr>
            <w:tcW w:w="512" w:type="dxa"/>
            <w:vAlign w:val="center"/>
          </w:tcPr>
          <w:p w:rsidR="004F7FF6" w:rsidRDefault="0049745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41</w:t>
            </w:r>
          </w:p>
        </w:tc>
        <w:tc>
          <w:tcPr>
            <w:tcW w:w="1312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兵团兴新职业技术学院</w:t>
            </w:r>
          </w:p>
        </w:tc>
        <w:tc>
          <w:tcPr>
            <w:tcW w:w="836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招就处干事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35周岁以下</w:t>
            </w:r>
          </w:p>
        </w:tc>
        <w:tc>
          <w:tcPr>
            <w:tcW w:w="1965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333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公共事业管理、公共关系学、公共管理</w:t>
            </w:r>
          </w:p>
        </w:tc>
        <w:tc>
          <w:tcPr>
            <w:tcW w:w="990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2020341</w:t>
            </w:r>
          </w:p>
        </w:tc>
        <w:tc>
          <w:tcPr>
            <w:tcW w:w="1363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217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第二师铁门关市</w:t>
            </w: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7FF6">
        <w:trPr>
          <w:trHeight w:val="421"/>
        </w:trPr>
        <w:tc>
          <w:tcPr>
            <w:tcW w:w="512" w:type="dxa"/>
            <w:vAlign w:val="center"/>
          </w:tcPr>
          <w:p w:rsidR="004F7FF6" w:rsidRDefault="004F7FF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679" w:type="dxa"/>
            <w:vAlign w:val="center"/>
          </w:tcPr>
          <w:p w:rsidR="004F7FF6" w:rsidRDefault="00497457">
            <w:pPr>
              <w:spacing w:line="230" w:lineRule="exact"/>
              <w:jc w:val="center"/>
              <w:rPr>
                <w:rFonts w:ascii="仿宋_GB2312" w:eastAsia="仿宋_GB2312" w:hAnsi="仿宋_GB2312" w:cs="仿宋_GB2312"/>
                <w:szCs w:val="21"/>
                <w:highlight w:val="lightGray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</w:t>
            </w:r>
          </w:p>
        </w:tc>
        <w:tc>
          <w:tcPr>
            <w:tcW w:w="1140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1965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3330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990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1363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  <w:tc>
          <w:tcPr>
            <w:tcW w:w="1217" w:type="dxa"/>
            <w:vAlign w:val="center"/>
          </w:tcPr>
          <w:p w:rsidR="004F7FF6" w:rsidRDefault="004F7FF6">
            <w:pPr>
              <w:spacing w:line="230" w:lineRule="exact"/>
              <w:jc w:val="center"/>
              <w:rPr>
                <w:rFonts w:ascii="仿宋_GB2312" w:eastAsia="仿宋_GB2312"/>
                <w:szCs w:val="21"/>
                <w:highlight w:val="lightGray"/>
              </w:rPr>
            </w:pPr>
          </w:p>
        </w:tc>
      </w:tr>
    </w:tbl>
    <w:p w:rsidR="004F7FF6" w:rsidRDefault="004F7FF6">
      <w:pPr>
        <w:rPr>
          <w:rFonts w:ascii="方正小标宋简体" w:eastAsia="方正小标宋简体"/>
          <w:sz w:val="48"/>
          <w:szCs w:val="48"/>
        </w:rPr>
      </w:pPr>
    </w:p>
    <w:sectPr w:rsidR="004F7FF6" w:rsidSect="004F7FF6">
      <w:pgSz w:w="16838" w:h="11906" w:orient="landscape"/>
      <w:pgMar w:top="1100" w:right="986" w:bottom="1293" w:left="121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F11"/>
    <w:rsid w:val="F7C8FC8E"/>
    <w:rsid w:val="000724B4"/>
    <w:rsid w:val="00081CD9"/>
    <w:rsid w:val="0009203D"/>
    <w:rsid w:val="000C0933"/>
    <w:rsid w:val="00136AEC"/>
    <w:rsid w:val="00190EDE"/>
    <w:rsid w:val="001A0F75"/>
    <w:rsid w:val="001B16AA"/>
    <w:rsid w:val="001F7461"/>
    <w:rsid w:val="0024002C"/>
    <w:rsid w:val="00242258"/>
    <w:rsid w:val="0024768E"/>
    <w:rsid w:val="003A5578"/>
    <w:rsid w:val="003A7130"/>
    <w:rsid w:val="003B48F4"/>
    <w:rsid w:val="00460138"/>
    <w:rsid w:val="004803B3"/>
    <w:rsid w:val="00497457"/>
    <w:rsid w:val="004D1186"/>
    <w:rsid w:val="004F7FF6"/>
    <w:rsid w:val="00527106"/>
    <w:rsid w:val="005723C6"/>
    <w:rsid w:val="006C1DF8"/>
    <w:rsid w:val="006D4645"/>
    <w:rsid w:val="007B219E"/>
    <w:rsid w:val="007C6607"/>
    <w:rsid w:val="00875678"/>
    <w:rsid w:val="008953A9"/>
    <w:rsid w:val="008D4B37"/>
    <w:rsid w:val="008E762A"/>
    <w:rsid w:val="00922F11"/>
    <w:rsid w:val="009A1B8A"/>
    <w:rsid w:val="009C0377"/>
    <w:rsid w:val="009D3B90"/>
    <w:rsid w:val="009F78F0"/>
    <w:rsid w:val="00A03733"/>
    <w:rsid w:val="00A71CA3"/>
    <w:rsid w:val="00AD2DBC"/>
    <w:rsid w:val="00B51F56"/>
    <w:rsid w:val="00CE4E24"/>
    <w:rsid w:val="00D27DA3"/>
    <w:rsid w:val="00D60F91"/>
    <w:rsid w:val="00D8735E"/>
    <w:rsid w:val="00E4480C"/>
    <w:rsid w:val="00F10FC8"/>
    <w:rsid w:val="00F23690"/>
    <w:rsid w:val="00F25EC8"/>
    <w:rsid w:val="00F41F1A"/>
    <w:rsid w:val="00F51CFE"/>
    <w:rsid w:val="00F9772D"/>
    <w:rsid w:val="00FC545E"/>
    <w:rsid w:val="02D24C82"/>
    <w:rsid w:val="044D4323"/>
    <w:rsid w:val="06A46012"/>
    <w:rsid w:val="09306059"/>
    <w:rsid w:val="0A0F2D3E"/>
    <w:rsid w:val="0F8165E7"/>
    <w:rsid w:val="10AD2222"/>
    <w:rsid w:val="117B39B2"/>
    <w:rsid w:val="11A12721"/>
    <w:rsid w:val="12835587"/>
    <w:rsid w:val="1336050C"/>
    <w:rsid w:val="14631459"/>
    <w:rsid w:val="1D435F21"/>
    <w:rsid w:val="1E1476B4"/>
    <w:rsid w:val="1E74195A"/>
    <w:rsid w:val="1F5A7CA9"/>
    <w:rsid w:val="1F8D16D0"/>
    <w:rsid w:val="2B19516B"/>
    <w:rsid w:val="2CE47014"/>
    <w:rsid w:val="2DE13555"/>
    <w:rsid w:val="2E247EC2"/>
    <w:rsid w:val="325F1FF2"/>
    <w:rsid w:val="328659D1"/>
    <w:rsid w:val="35556F77"/>
    <w:rsid w:val="360C78E9"/>
    <w:rsid w:val="38C52842"/>
    <w:rsid w:val="3DCD3141"/>
    <w:rsid w:val="40830E52"/>
    <w:rsid w:val="41514895"/>
    <w:rsid w:val="4170479F"/>
    <w:rsid w:val="479E46FC"/>
    <w:rsid w:val="48602143"/>
    <w:rsid w:val="4974260F"/>
    <w:rsid w:val="4AA56F5F"/>
    <w:rsid w:val="4AC945EF"/>
    <w:rsid w:val="4BCE64AB"/>
    <w:rsid w:val="4CC03761"/>
    <w:rsid w:val="4D887007"/>
    <w:rsid w:val="51E66F60"/>
    <w:rsid w:val="54C82906"/>
    <w:rsid w:val="58B454E7"/>
    <w:rsid w:val="5FC76361"/>
    <w:rsid w:val="694C5537"/>
    <w:rsid w:val="6A07418A"/>
    <w:rsid w:val="6B5B7E23"/>
    <w:rsid w:val="6C03301F"/>
    <w:rsid w:val="74C1113B"/>
    <w:rsid w:val="7771600F"/>
    <w:rsid w:val="7EB7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F7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F7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F7FF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4F7F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F7FF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F7F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513</Words>
  <Characters>2926</Characters>
  <Application>Microsoft Office Word</Application>
  <DocSecurity>0</DocSecurity>
  <Lines>24</Lines>
  <Paragraphs>6</Paragraphs>
  <ScaleCrop>false</ScaleCrop>
  <Company>HP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2020-07-31T18:51:00Z</cp:lastPrinted>
  <dcterms:created xsi:type="dcterms:W3CDTF">2020-08-20T01:42:00Z</dcterms:created>
  <dcterms:modified xsi:type="dcterms:W3CDTF">2020-08-20T01:42:00Z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