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F" w:rsidRDefault="00DC650F" w:rsidP="00CB73AF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湖北省十堰市太和医院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2020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年应届毕业生公开招聘岗位表</w:t>
      </w:r>
    </w:p>
    <w:tbl>
      <w:tblPr>
        <w:tblStyle w:val="a"/>
        <w:tblW w:w="87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2173"/>
        <w:gridCol w:w="1003"/>
        <w:gridCol w:w="2295"/>
        <w:gridCol w:w="1429"/>
        <w:gridCol w:w="1125"/>
      </w:tblGrid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3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b/>
                <w:bCs/>
                <w:kern w:val="0"/>
                <w:sz w:val="16"/>
              </w:rPr>
              <w:t>科室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b/>
                <w:bCs/>
                <w:kern w:val="0"/>
                <w:sz w:val="16"/>
              </w:rPr>
              <w:t>岗位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b/>
                <w:bCs/>
                <w:kern w:val="0"/>
                <w:sz w:val="16"/>
              </w:rPr>
              <w:t>专业方向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b/>
                <w:bCs/>
                <w:kern w:val="0"/>
                <w:sz w:val="16"/>
              </w:rPr>
              <w:t>学历学位要求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b/>
                <w:bCs/>
                <w:kern w:val="0"/>
                <w:sz w:val="16"/>
              </w:rPr>
              <w:t>需求数量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心血管内科Ⅰ病区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心血管内科学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心血管内科Ⅱ病区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心血管内科学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心血管内科Ⅲ病区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心血管内科学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呼吸与危重症医学科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呼吸内科学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消化内科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消化内科学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血液内科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血液内科学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神经内科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神经病学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综合医疗科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老年医学、心血管内科、呼吸内科学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肾病内科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肾病内科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肿 瘤 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肿瘤内科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感 染 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感染性疾病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肝胆胰中心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肝胆胰外科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普通外科Ⅲ病区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甲状腺、乳腺外科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骨科Ⅱ病区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骨外科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整形美容烧伤科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整形外科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脑血管疾病诊疗中心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神经外科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胸心大血管外科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心脏、大血管外科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疼痛科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疼痛、麻醉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重症医学科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急诊、重症等临床医学相关专业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麻醉科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8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皮 肤 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皮肤病与性病学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眼科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眼科学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耳鼻咽喉科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耳鼻咽喉科学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 腔 科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口腔相关专业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儿童康复中心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儿科学、儿童康复医学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神经康复中心Ⅱ病区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康复医学相关专业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神经康复中心Ⅲ病区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康复医学、神经病学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骨科康复中心Ⅲ病区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中医骨伤、针灸推拿、中西医结合临床骨康方向、康复医学、骨外科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心理卫生中心/睡眠障碍中心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精神病与精神卫生学、神经病学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中医康复综合部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中医骨伤、针灸推拿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产科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妇科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生殖医学中心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妇产科学、泌尿及生殖医学、遗传学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女性健康管理中心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妇产科学、内分泌、干细胞相关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儿科Ⅰ病区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儿科Ⅱ病区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儿科Ⅲ病区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儿科门诊（含PICU）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急诊科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急诊、重症等临床相关专业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防保感控处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儿童保健、预防保健等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医学影像中心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影像医学与核医学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超声科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影像医学与核医学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核医学科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影像医学与核医学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病理科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病理学与病理生理学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输血科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临床输血专业、临床医学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心功能室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临床医学相关专业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药学部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药师岗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临床药学相关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临床护理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护理岗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985、211高校护理学毕业生；其他高校全国护理技能竞赛获奖毕业生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50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血液内科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临床检验、临床医学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神经内科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神经病学、临床医学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肿瘤科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医学物理、生物医学工程、影像技术专业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 </w:t>
            </w:r>
          </w:p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52</w:t>
            </w:r>
          </w:p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皮肤科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皮肤病理、皮肤影像方向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 </w:t>
            </w:r>
          </w:p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 </w:t>
            </w:r>
          </w:p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儿童康复中心</w:t>
            </w:r>
          </w:p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康复治疗学及相关专业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幼教、特教、儿童心理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心肺康复中心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康复治疗学及相关专业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睡眠障碍康复中心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临床医学2020年规培结业、康复治疗学相关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康复治疗部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康复治疗学、康复医学与理疗学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医学影像中心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医学影像学、医学影像技术学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4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输血科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技师岗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临床检验或输血相关专业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59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儿科研究所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科研岗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基础医学、临床医学等儿童疾病研究相关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脑科学研究所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科研岗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基础医学、生物学、生物医学相关专业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创面修复和皮肤外科实验室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科研岗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生物学相关专业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</w:p>
        </w:tc>
      </w:tr>
    </w:tbl>
    <w:tbl>
      <w:tblPr>
        <w:tblW w:w="6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1836"/>
        <w:gridCol w:w="799"/>
        <w:gridCol w:w="1700"/>
        <w:gridCol w:w="1096"/>
        <w:gridCol w:w="864"/>
      </w:tblGrid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62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信息资源部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行政岗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计算机相关专业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</w:p>
        </w:tc>
      </w:tr>
      <w:tr w:rsidR="00CB73AF" w:rsidRPr="00CB73AF" w:rsidTr="00CB73AF">
        <w:trPr>
          <w:trHeight w:val="567"/>
          <w:tblCellSpacing w:w="0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63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后勤服务中心        （医学工程部）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行政岗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生物医学工程相关专业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</w:t>
            </w:r>
          </w:p>
        </w:tc>
      </w:tr>
      <w:tr w:rsidR="00CB73AF" w:rsidRPr="00CB73AF" w:rsidTr="00CB73AF">
        <w:trPr>
          <w:trHeight w:val="1025"/>
          <w:tblCellSpacing w:w="0" w:type="dxa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B73AF" w:rsidRPr="00CB73AF" w:rsidRDefault="00CB73AF" w:rsidP="00CB73AF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B73AF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备注：1.以上所有招聘岗位均要求应聘者专业对口，且是普通全日制应届毕业生。2.优秀博士毕业生不受此公告名额限制。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690F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50F"/>
    <w:rsid w:val="007A0D36"/>
    <w:rsid w:val="007C7F1D"/>
    <w:rsid w:val="00B0378B"/>
    <w:rsid w:val="00CB73AF"/>
    <w:rsid w:val="00DC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A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7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2019-12-06T01:26:00Z</dcterms:created>
  <dcterms:modified xsi:type="dcterms:W3CDTF">2019-12-06T01:26:00Z</dcterms:modified>
</cp:coreProperties>
</file>