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ascii="微软雅黑" w:hAnsi="微软雅黑" w:eastAsia="微软雅黑" w:cs="微软雅黑"/>
          <w:b w:val="0"/>
          <w:i w:val="0"/>
          <w:caps w:val="0"/>
          <w:color w:val="333333"/>
          <w:spacing w:val="0"/>
          <w:sz w:val="19"/>
          <w:szCs w:val="19"/>
        </w:rPr>
      </w:pPr>
      <w:r>
        <w:rPr>
          <w:rFonts w:ascii="方正小标宋_GBK" w:hAnsi="方正小标宋_GBK" w:eastAsia="方正小标宋_GBK" w:cs="方正小标宋_GBK"/>
          <w:b w:val="0"/>
          <w:i w:val="0"/>
          <w:caps w:val="0"/>
          <w:color w:val="333333"/>
          <w:spacing w:val="0"/>
          <w:sz w:val="25"/>
          <w:szCs w:val="25"/>
          <w:bdr w:val="none" w:color="auto" w:sz="0" w:space="0"/>
          <w:shd w:val="clear" w:fill="F8F8F8"/>
        </w:rPr>
        <w:t>台江县事业单位2019年公开引进需紧缺人才职位一览表</w:t>
      </w:r>
    </w:p>
    <w:tbl>
      <w:tblPr>
        <w:tblW w:w="13515"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
      <w:tblGrid>
        <w:gridCol w:w="720"/>
        <w:gridCol w:w="864"/>
        <w:gridCol w:w="579"/>
        <w:gridCol w:w="528"/>
        <w:gridCol w:w="720"/>
        <w:gridCol w:w="492"/>
        <w:gridCol w:w="1392"/>
        <w:gridCol w:w="696"/>
        <w:gridCol w:w="2952"/>
        <w:gridCol w:w="2508"/>
        <w:gridCol w:w="2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372" w:hRule="atLeast"/>
          <w:tblCellSpacing w:w="0" w:type="dxa"/>
        </w:trPr>
        <w:tc>
          <w:tcPr>
            <w:tcW w:w="720"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主管部门</w:t>
            </w:r>
          </w:p>
        </w:tc>
        <w:tc>
          <w:tcPr>
            <w:tcW w:w="864"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用人单位名称</w:t>
            </w:r>
          </w:p>
        </w:tc>
        <w:tc>
          <w:tcPr>
            <w:tcW w:w="579"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岗位代码</w:t>
            </w:r>
          </w:p>
        </w:tc>
        <w:tc>
          <w:tcPr>
            <w:tcW w:w="528"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岗位类型</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岗位名称（简介）</w:t>
            </w:r>
          </w:p>
        </w:tc>
        <w:tc>
          <w:tcPr>
            <w:tcW w:w="492"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计划引才人数</w:t>
            </w:r>
          </w:p>
        </w:tc>
        <w:tc>
          <w:tcPr>
            <w:tcW w:w="7548" w:type="dxa"/>
            <w:gridSpan w:val="4"/>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急需紧缺人才要求条件</w:t>
            </w:r>
          </w:p>
        </w:tc>
        <w:tc>
          <w:tcPr>
            <w:tcW w:w="2064"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660" w:hRule="atLeast"/>
          <w:tblCellSpacing w:w="0" w:type="dxa"/>
        </w:trPr>
        <w:tc>
          <w:tcPr>
            <w:tcW w:w="720"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28"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720"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492"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学历学位要求</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职称（技术职务）</w:t>
            </w: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所学专业</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其他条件</w:t>
            </w:r>
          </w:p>
        </w:tc>
        <w:tc>
          <w:tcPr>
            <w:tcW w:w="2064"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325" w:hRule="atLeast"/>
          <w:tblCellSpacing w:w="0" w:type="dxa"/>
        </w:trPr>
        <w:tc>
          <w:tcPr>
            <w:tcW w:w="3411" w:type="dxa"/>
            <w:gridSpan w:val="5"/>
            <w:tcBorders>
              <w:top w:val="single" w:color="auto" w:sz="4" w:space="0"/>
              <w:left w:val="single" w:color="auto" w:sz="4" w:space="0"/>
              <w:bottom w:val="single" w:color="auto" w:sz="4" w:space="0"/>
              <w:right w:val="single" w:color="000000"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合计:</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25</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12"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贵州台江经济开发区管理委员会</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规划建设和环境保护局</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15001</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环境保护</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环境科学与工程类、自然保护与环境生态类、化学类</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本科仅限“985”或“211”工程院校毕业生，全日制普通高校硕士研究生学历学位及以上，可不受“985”或“211”工程院校限制。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00"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15002</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规划建设</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土木工程、建筑学、工程造价</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本科仅限“985”或“211”工程院校毕业生，全日制普通高校硕士研究生学历学位及以上，可不受“985”或“211”工程院校限制。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672"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台江县住房和城乡建设局</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规划管理中心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15003</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城市建设规划</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中级及以上</w:t>
            </w: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城乡规划、城市规划、资源环境与城乡规划管理、城乡区域规划与管理</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720"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工程质量监督站</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15004</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工程质量管理</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中级及以上</w:t>
            </w: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土建类、建筑类</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057" w:hRule="atLeast"/>
          <w:tblCellSpacing w:w="0" w:type="dxa"/>
        </w:trPr>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台江县民族宗教事务局</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苗族迁徙史博物馆   （台江县苗族文化研究中心）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15005</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管理岗位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苗族文化研究</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民族学、历史学、中国史、世界史、专门史</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本科仅限“985”或“211”工程院校毕业生，全日制普通高校硕士研究生学历学位及以上，可不受“985”或“211”工程院校限制。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60" w:hRule="atLeast"/>
          <w:tblCellSpacing w:w="0" w:type="dxa"/>
        </w:trPr>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台江县财政局</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台江县财政局国库集中支付中心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15006</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国库支付管理</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2</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会计学、经济学、财务管理、金融管理、金融、金融学、财政学、金融工程、财政税收</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本科仅限“985”或“211”工程院校毕业生，全日制普通高校硕士研究生学历学位及以上，可不受“985”或“211”工程院校限制。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057" w:hRule="atLeast"/>
          <w:tblCellSpacing w:w="0" w:type="dxa"/>
        </w:trPr>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台江县扶贫开发办公室</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项目办</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15007</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管理岗位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项目建设规划及管理</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土木工程、建筑学、工程造价</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本科仅限“985”或“211”工程院校毕业生，全日制普通高校硕士研究生学历学位或具有中级及以上职称的，不受“985”或“211”工程院校限制。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188"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台江县教育和科技局</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台江民族中学</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15008</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高中语文教育教学</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语文教育、汉语言文学教育、汉语言文学、汉语言、中文应用、汉语言文字学、学科教学（语文）。</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具有高级中学教师资格证，本科仅限“985”或“211”工程院校毕业生，全日制普通高校硕士研究生或具有中级及以上职称的，不受“985”或“211”工程院校限制。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153"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15009</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高中数学教育教学</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2</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数学与应用数学、数学教育；基础数学、应用数学、   计算数学、学科教学（数学）、概率论与数理统计</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具有高级中学教师资格证，本科仅限“985”或“211”工程院校毕业生，全日制普通高校硕士研究生或具有中级及以上职称的，不受“985”或“211”工程院校限制。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153"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15010</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高中日语教育教学</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2</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日语、日语教育；学科教学（日语）、日语语言文学、日语笔译、日语口译。</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具有高级中学教师资格证，本科仅限“985”或“211”工程院校毕业生，全日制普通高校硕士研究生或具有中级及以上职称的，不受“985”或“211”工程院校限制。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200"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15011</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高中化学教育教学</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化学、应用化学、化学教育；学科教学（化学）、有机化学。</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具有高级中学教师资格证，本科仅限“985”或“211”工程院校毕业生，全日制普通高校硕士研究生或具有中级及以上职称的，不受“985”或“211”工程院校限制。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093"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15012</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高中音乐教育教学</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舞蹈学、舞蹈编导、舞蹈表演</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具有高级中学教师资格证，本科仅限“985”或“211”工程院校毕业生，全日制普通高校硕士研究生或具有中级以上职称的，不受“985”或“211”工程院校限制。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152"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台江县工业信息化和商务局</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台江县大数据发展中心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15013</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管理岗位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台江县大数据发展中心</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2</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信息与计算科学、计算数学及其应用软件、计算机与自动检测、电子信息科学与技术、计算机应用技术、数据库应用与信息管理、经济信息管理与计算机应用、数控技术及应用</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本科仅限“985”或“211”工程院校毕业生，全日制普通高校硕士研究生及以上学历不受“985”或“211”工程院校限制。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48"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15014</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管理岗位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台江县大数据发展中心</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统计学、经济统计学、应用统计学</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本科仅限“985”或“211”工程院校毕业生，全日制制普通高校硕士研究生及以上学历不受“985”或“211”工程院校限制。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48"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台江县农业局</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农业技术推广站</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15015</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农机办工作人员</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农业机械化及其自动化、农业电气化与自动化、农业建筑环境与能源工程</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本科仅限“985”或“211”工程院校毕业生，全日制普通高校硕士研究生及以上学历不受“985”或“211”工程院校限制。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48"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草地饲料管理站</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15016</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草饲站工作人员</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食用菌与蔬菜、生物技术、生物技术应用</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本科仅限“985”或“211”工程院校毕业生，全日制普通高校硕士研究生及以上学历不受“985”或“211”工程院校限制。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876" w:hRule="atLeast"/>
          <w:tblCellSpacing w:w="0" w:type="dxa"/>
        </w:trPr>
        <w:tc>
          <w:tcPr>
            <w:tcW w:w="720" w:type="dxa"/>
            <w:vMerge w:val="restart"/>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台江县方召镇人民政府</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农业服务中心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15017</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农服工作</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畜牧、畜牧兽医、动物医学、动物卫生检验、植物科学与技术、种子科学与工程、果树、蔬菜生产与营销</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008"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林业站</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15018</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林业工作</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农林经济管理、森林工程、林产化工、林学、现代林业技术、经济林、林业技术与管理;测绘工程、摄影测量与遥感、测量工程、工程测量、现代测绘技术</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912" w:hRule="atLeast"/>
          <w:tblCellSpacing w:w="0" w:type="dxa"/>
        </w:trPr>
        <w:tc>
          <w:tcPr>
            <w:tcW w:w="720" w:type="dxa"/>
            <w:vMerge w:val="continue"/>
            <w:tcBorders>
              <w:top w:val="single" w:color="auto" w:sz="4" w:space="0"/>
              <w:left w:val="single" w:color="auto" w:sz="4" w:space="0"/>
              <w:bottom w:val="single" w:color="auto"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电子商务服务中心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15019</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管理岗位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电商工作</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市场营销、商品学、电子商务、物流管理、国际市场营销、商品经营、营销管理</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本科仅限“985”或“211”工程院校，硕士研究生及以上学历不受“985”或“211”工程院校限制。</w:t>
            </w: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1248" w:hRule="atLeast"/>
          <w:tblCellSpacing w:w="0" w:type="dxa"/>
        </w:trPr>
        <w:tc>
          <w:tcPr>
            <w:tcW w:w="720" w:type="dxa"/>
            <w:vMerge w:val="restart"/>
            <w:tcBorders>
              <w:top w:val="single" w:color="auto" w:sz="4" w:space="0"/>
              <w:left w:val="single" w:color="auto" w:sz="4" w:space="0"/>
              <w:bottom w:val="single" w:color="000000"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台江县南宫镇人民政府</w:t>
            </w: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林业站</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15020</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林业站工作员</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农林经济管理、经济林、经济林培育与利用、经济林栽培与产品加工技术;森林工程、林业经济管理、林木遗传育种、果树学、测绘工程、摄影测量与遥感、测量工程、工程测量、现代测绘技术</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2208" w:hRule="atLeast"/>
          <w:tblCellSpacing w:w="0" w:type="dxa"/>
        </w:trPr>
        <w:tc>
          <w:tcPr>
            <w:tcW w:w="720" w:type="dxa"/>
            <w:vMerge w:val="continue"/>
            <w:tcBorders>
              <w:top w:val="single" w:color="auto" w:sz="4" w:space="0"/>
              <w:left w:val="single" w:color="auto" w:sz="4" w:space="0"/>
              <w:bottom w:val="single" w:color="000000" w:sz="4" w:space="0"/>
              <w:right w:val="single" w:color="auto" w:sz="4" w:space="0"/>
            </w:tcBorders>
            <w:shd w:val="clear" w:color="auto" w:fill="F8F8F8"/>
            <w:vAlign w:val="center"/>
          </w:tcPr>
          <w:p>
            <w:pPr>
              <w:rPr>
                <w:rFonts w:hint="eastAsia" w:ascii="微软雅黑" w:hAnsi="微软雅黑" w:eastAsia="微软雅黑" w:cs="微软雅黑"/>
                <w:b w:val="0"/>
                <w:i w:val="0"/>
                <w:caps w:val="0"/>
                <w:color w:val="333333"/>
                <w:spacing w:val="0"/>
                <w:sz w:val="19"/>
                <w:szCs w:val="19"/>
              </w:rPr>
            </w:pPr>
          </w:p>
        </w:tc>
        <w:tc>
          <w:tcPr>
            <w:tcW w:w="8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农业服务中心</w:t>
            </w:r>
          </w:p>
        </w:tc>
        <w:tc>
          <w:tcPr>
            <w:tcW w:w="579"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15021</w:t>
            </w:r>
          </w:p>
        </w:tc>
        <w:tc>
          <w:tcPr>
            <w:tcW w:w="52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专业技术岗位</w:t>
            </w:r>
          </w:p>
        </w:tc>
        <w:tc>
          <w:tcPr>
            <w:tcW w:w="720"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负责农业综合培训、农产品质量检测、畜牧业技术推广等</w:t>
            </w:r>
          </w:p>
        </w:tc>
        <w:tc>
          <w:tcPr>
            <w:tcW w:w="4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1</w:t>
            </w:r>
          </w:p>
        </w:tc>
        <w:tc>
          <w:tcPr>
            <w:tcW w:w="139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全日制普通高校大学本科、学士及以上学历学位</w:t>
            </w:r>
          </w:p>
        </w:tc>
        <w:tc>
          <w:tcPr>
            <w:tcW w:w="696"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952"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畜牧、畜牧兽医、动物医学、动物卫生检验、植物科学与技术、种子科学与工程、果树、蔬菜生产与营销、草业科学、养殖技术、水产养殖学、渔业综合技术、渔业技术管理、农学、   设施农业科学与工程、   农业资源与环境、农业水利工程；农业机械化工程、农业水土工程、农业生物环境与能源工程、农业电气化与自动化、土壤学、植物营养学、农业昆虫与害虫防治。</w:t>
            </w:r>
          </w:p>
        </w:tc>
        <w:tc>
          <w:tcPr>
            <w:tcW w:w="2508"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064" w:type="dxa"/>
            <w:tcBorders>
              <w:top w:val="single" w:color="auto" w:sz="4" w:space="0"/>
              <w:left w:val="single" w:color="auto" w:sz="4" w:space="0"/>
              <w:bottom w:val="single" w:color="auto" w:sz="4" w:space="0"/>
              <w:right w:val="single" w:color="auto" w:sz="4" w:space="0"/>
            </w:tcBorders>
            <w:shd w:val="clear" w:color="auto" w:fill="F8F8F8"/>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kern w:val="0"/>
                <w:sz w:val="19"/>
                <w:szCs w:val="19"/>
                <w:bdr w:val="none" w:color="auto" w:sz="0" w:space="0"/>
                <w:lang w:val="en-US" w:eastAsia="zh-CN" w:bidi="ar"/>
              </w:rPr>
              <w:t>35周岁及以下，全日制普通高校硕士研究生学历学位或获得中级及以上职称的可放宽到40周岁及以下</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2785C"/>
    <w:rsid w:val="3922785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2018-11-13T03:36:00Z</dcterms:created>
  <dc:creator>愿风裁尘</dc:creator>
  <cp:lastModifiedBy>愿风裁尘</cp:lastModifiedBy>
  <dcterms:modified xsi:type="dcterms:W3CDTF">2018-11-13T03:37:10Z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