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ascii="Arial" w:hAnsi="Arial" w:eastAsia="宋体" w:cs="Arial"/>
          <w:b w:val="0"/>
          <w:i w:val="0"/>
          <w:caps w:val="0"/>
          <w:color w:val="FF0000"/>
          <w:spacing w:val="0"/>
          <w:sz w:val="18"/>
          <w:szCs w:val="18"/>
          <w:shd w:val="clear" w:fill="FFFFFF"/>
        </w:rPr>
        <w:t>江苏中公金融人js-yhzpks</w:t>
      </w:r>
      <w:r>
        <w:rPr>
          <w:rFonts w:hint="default" w:ascii="Arial" w:hAnsi="Arial" w:eastAsia="宋体" w:cs="Arial"/>
          <w:b w:val="0"/>
          <w:i w:val="0"/>
          <w:caps w:val="0"/>
          <w:color w:val="222222"/>
          <w:spacing w:val="0"/>
          <w:sz w:val="18"/>
          <w:szCs w:val="18"/>
          <w:shd w:val="clear" w:fill="FFFFFF"/>
        </w:rPr>
        <w:t> | </w:t>
      </w:r>
      <w:r>
        <w:rPr>
          <w:rFonts w:hint="default" w:ascii="Arial" w:hAnsi="Arial" w:eastAsia="宋体" w:cs="Arial"/>
          <w:b w:val="0"/>
          <w:i w:val="0"/>
          <w:caps w:val="0"/>
          <w:spacing w:val="0"/>
          <w:sz w:val="18"/>
          <w:szCs w:val="18"/>
          <w:shd w:val="clear" w:fill="FFFFFF"/>
        </w:rPr>
        <w:fldChar w:fldCharType="begin"/>
      </w:r>
      <w:r>
        <w:rPr>
          <w:rFonts w:hint="default" w:ascii="Arial" w:hAnsi="Arial" w:eastAsia="宋体" w:cs="Arial"/>
          <w:b w:val="0"/>
          <w:i w:val="0"/>
          <w:caps w:val="0"/>
          <w:spacing w:val="0"/>
          <w:sz w:val="18"/>
          <w:szCs w:val="18"/>
          <w:shd w:val="clear" w:fill="FFFFFF"/>
        </w:rPr>
        <w:instrText xml:space="preserve"> HYPERLINK "https://jq.qq.com/?_wv=1027&amp;k=5UgzmPU" \t "http://www.jinrongren.net:88/_blank" </w:instrText>
      </w:r>
      <w:r>
        <w:rPr>
          <w:rFonts w:hint="default" w:ascii="Arial" w:hAnsi="Arial" w:eastAsia="宋体" w:cs="Arial"/>
          <w:b w:val="0"/>
          <w:i w:val="0"/>
          <w:caps w:val="0"/>
          <w:spacing w:val="0"/>
          <w:sz w:val="18"/>
          <w:szCs w:val="18"/>
          <w:shd w:val="clear" w:fill="FFFFFF"/>
        </w:rPr>
        <w:fldChar w:fldCharType="separate"/>
      </w:r>
      <w:r>
        <w:rPr>
          <w:rStyle w:val="8"/>
          <w:rFonts w:hint="default" w:ascii="Arial" w:hAnsi="Arial" w:eastAsia="宋体" w:cs="Arial"/>
          <w:b w:val="0"/>
          <w:i w:val="0"/>
          <w:caps w:val="0"/>
          <w:color w:val="FF0000"/>
          <w:spacing w:val="0"/>
          <w:sz w:val="18"/>
          <w:szCs w:val="18"/>
          <w:shd w:val="clear" w:fill="FFFFFF"/>
        </w:rPr>
        <w:t>农商行备考3群：202460879</w:t>
      </w:r>
      <w:r>
        <w:rPr>
          <w:rFonts w:hint="default" w:ascii="Arial" w:hAnsi="Arial" w:eastAsia="宋体" w:cs="Arial"/>
          <w:b w:val="0"/>
          <w:i w:val="0"/>
          <w:caps w:val="0"/>
          <w:spacing w:val="0"/>
          <w:sz w:val="18"/>
          <w:szCs w:val="18"/>
          <w:shd w:val="clear" w:fill="FFFFFF"/>
        </w:rPr>
        <w:fldChar w:fldCharType="end"/>
      </w:r>
      <w:bookmarkStart w:id="0" w:name="_GoBack"/>
      <w:bookmarkEnd w:id="0"/>
    </w:p>
    <w:p>
      <w:pPr>
        <w:jc w:val="center"/>
        <w:rPr>
          <w:b/>
          <w:sz w:val="44"/>
          <w:szCs w:val="44"/>
        </w:rPr>
      </w:pPr>
      <w:r>
        <w:rPr>
          <w:rFonts w:hint="eastAsia"/>
          <w:b/>
          <w:sz w:val="44"/>
          <w:szCs w:val="44"/>
        </w:rPr>
        <w:t>关于启东农商银行引进人才招聘的公告</w:t>
      </w:r>
    </w:p>
    <w:p/>
    <w:p>
      <w:pPr>
        <w:pStyle w:val="5"/>
        <w:shd w:val="clear" w:color="auto" w:fill="FFFFFF"/>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江苏启东农村商业银行股份有限公司（简称启东农商银行）</w:t>
      </w:r>
      <w:r>
        <w:rPr>
          <w:rFonts w:hint="eastAsia" w:ascii="仿宋_GB2312" w:hAnsi="Calibri" w:eastAsia="仿宋_GB2312" w:cs="Times New Roman"/>
          <w:kern w:val="2"/>
          <w:sz w:val="28"/>
          <w:szCs w:val="28"/>
        </w:rPr>
        <w:t>成立于2011年11月11日，是经中国银监会批准，由1793名自然人股东和54家法人股东共同发起设立的股份制金融机构。目前注册资本75600亿元，下辖1个营业部、</w:t>
      </w:r>
      <w:r>
        <w:rPr>
          <w:rFonts w:ascii="仿宋_GB2312" w:hAnsi="Calibri" w:eastAsia="仿宋_GB2312" w:cs="Times New Roman"/>
          <w:kern w:val="2"/>
          <w:sz w:val="28"/>
          <w:szCs w:val="28"/>
        </w:rPr>
        <w:t>50</w:t>
      </w:r>
      <w:r>
        <w:rPr>
          <w:rFonts w:hint="eastAsia" w:ascii="仿宋_GB2312" w:hAnsi="Calibri" w:eastAsia="仿宋_GB2312" w:cs="Times New Roman"/>
          <w:kern w:val="2"/>
          <w:sz w:val="28"/>
          <w:szCs w:val="28"/>
        </w:rPr>
        <w:t>个支行、</w:t>
      </w:r>
      <w:r>
        <w:rPr>
          <w:rFonts w:ascii="仿宋_GB2312" w:hAnsi="Calibri" w:eastAsia="仿宋_GB2312" w:cs="Times New Roman"/>
          <w:kern w:val="2"/>
          <w:sz w:val="28"/>
          <w:szCs w:val="28"/>
        </w:rPr>
        <w:t>15</w:t>
      </w:r>
      <w:r>
        <w:rPr>
          <w:rFonts w:hint="eastAsia" w:ascii="仿宋_GB2312" w:hAnsi="Calibri" w:eastAsia="仿宋_GB2312" w:cs="Times New Roman"/>
          <w:kern w:val="2"/>
          <w:sz w:val="28"/>
          <w:szCs w:val="28"/>
        </w:rPr>
        <w:t>个分理处，6</w:t>
      </w:r>
      <w:r>
        <w:rPr>
          <w:rFonts w:hint="eastAsia" w:ascii="仿宋_GB2312" w:eastAsia="仿宋_GB2312" w:hAnsiTheme="minorHAnsi" w:cstheme="minorBidi"/>
          <w:kern w:val="2"/>
          <w:sz w:val="28"/>
          <w:szCs w:val="28"/>
        </w:rPr>
        <w:t>6</w:t>
      </w:r>
      <w:r>
        <w:rPr>
          <w:rFonts w:hint="eastAsia" w:ascii="仿宋_GB2312" w:hAnsi="Calibri" w:eastAsia="仿宋_GB2312" w:cs="Times New Roman"/>
          <w:kern w:val="2"/>
          <w:sz w:val="28"/>
          <w:szCs w:val="28"/>
        </w:rPr>
        <w:t>个营业网点，员工总数800</w:t>
      </w:r>
      <w:r>
        <w:rPr>
          <w:rFonts w:hint="eastAsia" w:ascii="仿宋_GB2312" w:eastAsia="仿宋_GB2312" w:hAnsiTheme="minorHAnsi" w:cstheme="minorBidi"/>
          <w:kern w:val="2"/>
          <w:sz w:val="28"/>
          <w:szCs w:val="28"/>
        </w:rPr>
        <w:t>余人。</w:t>
      </w:r>
    </w:p>
    <w:p>
      <w:pPr>
        <w:ind w:firstLine="560" w:firstLineChars="200"/>
        <w:rPr>
          <w:rFonts w:ascii="仿宋_GB2312" w:eastAsia="仿宋_GB2312"/>
          <w:sz w:val="28"/>
          <w:szCs w:val="28"/>
        </w:rPr>
      </w:pPr>
      <w:r>
        <w:rPr>
          <w:rFonts w:hint="eastAsia" w:ascii="仿宋_GB2312" w:hAnsi="Calibri" w:eastAsia="仿宋_GB2312" w:cs="Times New Roman"/>
          <w:sz w:val="28"/>
          <w:szCs w:val="28"/>
        </w:rPr>
        <w:t>多年来，启东农商银行坚持立足服务三农，各项业务高效发展，立志成为“启东</w:t>
      </w:r>
      <w:r>
        <w:rPr>
          <w:rFonts w:ascii="仿宋_GB2312" w:hAnsi="Calibri" w:eastAsia="仿宋_GB2312" w:cs="Times New Roman"/>
          <w:sz w:val="28"/>
          <w:szCs w:val="28"/>
        </w:rPr>
        <w:t>人自己的银行</w:t>
      </w:r>
      <w:r>
        <w:rPr>
          <w:rFonts w:hint="eastAsia" w:ascii="仿宋_GB2312" w:hAnsi="Calibri" w:eastAsia="仿宋_GB2312" w:cs="Times New Roman"/>
          <w:sz w:val="28"/>
          <w:szCs w:val="28"/>
        </w:rPr>
        <w:t>”</w:t>
      </w:r>
      <w:r>
        <w:rPr>
          <w:rFonts w:ascii="仿宋_GB2312" w:hAnsi="Calibri" w:eastAsia="仿宋_GB2312" w:cs="Times New Roman"/>
          <w:sz w:val="28"/>
          <w:szCs w:val="28"/>
        </w:rPr>
        <w:t>，</w:t>
      </w:r>
      <w:r>
        <w:rPr>
          <w:rFonts w:hint="eastAsia" w:ascii="仿宋_GB2312" w:hAnsi="Calibri" w:eastAsia="仿宋_GB2312" w:cs="Times New Roman"/>
          <w:sz w:val="28"/>
          <w:szCs w:val="28"/>
        </w:rPr>
        <w:t>是启东地区市场份额</w:t>
      </w:r>
      <w:r>
        <w:rPr>
          <w:rFonts w:ascii="仿宋_GB2312" w:hAnsi="Calibri" w:eastAsia="仿宋_GB2312" w:cs="Times New Roman"/>
          <w:sz w:val="28"/>
          <w:szCs w:val="28"/>
        </w:rPr>
        <w:t>最大</w:t>
      </w:r>
      <w:r>
        <w:rPr>
          <w:rFonts w:hint="eastAsia" w:ascii="仿宋_GB2312" w:hAnsi="Calibri" w:eastAsia="仿宋_GB2312" w:cs="Times New Roman"/>
          <w:sz w:val="28"/>
          <w:szCs w:val="28"/>
        </w:rPr>
        <w:t>的本土金融机构。截至201</w:t>
      </w:r>
      <w:r>
        <w:rPr>
          <w:rFonts w:ascii="仿宋_GB2312" w:hAnsi="Calibri" w:eastAsia="仿宋_GB2312" w:cs="Times New Roman"/>
          <w:sz w:val="28"/>
          <w:szCs w:val="28"/>
        </w:rPr>
        <w:t>8</w:t>
      </w:r>
      <w:r>
        <w:rPr>
          <w:rFonts w:hint="eastAsia" w:ascii="仿宋_GB2312" w:hAnsi="Calibri" w:eastAsia="仿宋_GB2312" w:cs="Times New Roman"/>
          <w:sz w:val="28"/>
          <w:szCs w:val="28"/>
        </w:rPr>
        <w:t>年6月末</w:t>
      </w:r>
      <w:r>
        <w:rPr>
          <w:rFonts w:ascii="仿宋_GB2312" w:hAnsi="Calibri" w:eastAsia="仿宋_GB2312" w:cs="Times New Roman"/>
          <w:sz w:val="28"/>
          <w:szCs w:val="28"/>
        </w:rPr>
        <w:t>，启东农商银行</w:t>
      </w:r>
      <w:r>
        <w:rPr>
          <w:rFonts w:hint="eastAsia" w:ascii="仿宋_GB2312" w:hAnsi="Calibri" w:eastAsia="仿宋_GB2312" w:cs="Times New Roman"/>
          <w:sz w:val="28"/>
          <w:szCs w:val="28"/>
        </w:rPr>
        <w:t>总资产规模486.15亿元，各项存款余额389.82亿元，各项贷款余额242.59亿元；存款</w:t>
      </w:r>
      <w:r>
        <w:rPr>
          <w:rFonts w:ascii="仿宋_GB2312" w:hAnsi="Calibri" w:eastAsia="仿宋_GB2312" w:cs="Times New Roman"/>
          <w:sz w:val="28"/>
          <w:szCs w:val="28"/>
        </w:rPr>
        <w:t>、</w:t>
      </w:r>
      <w:r>
        <w:rPr>
          <w:rFonts w:hint="eastAsia" w:ascii="仿宋_GB2312" w:hAnsi="Calibri" w:eastAsia="仿宋_GB2312" w:cs="Times New Roman"/>
          <w:sz w:val="28"/>
          <w:szCs w:val="28"/>
        </w:rPr>
        <w:t>贷款市场份额分别达28.28</w:t>
      </w:r>
      <w:r>
        <w:rPr>
          <w:rFonts w:ascii="仿宋_GB2312" w:hAnsi="Calibri" w:eastAsia="仿宋_GB2312" w:cs="Times New Roman"/>
          <w:sz w:val="28"/>
          <w:szCs w:val="28"/>
        </w:rPr>
        <w:t>%、</w:t>
      </w:r>
      <w:r>
        <w:rPr>
          <w:rFonts w:hint="eastAsia" w:ascii="仿宋_GB2312" w:hAnsi="Calibri" w:eastAsia="仿宋_GB2312" w:cs="Times New Roman"/>
          <w:sz w:val="28"/>
          <w:szCs w:val="28"/>
        </w:rPr>
        <w:t>26.82</w:t>
      </w:r>
      <w:r>
        <w:rPr>
          <w:rFonts w:ascii="仿宋_GB2312" w:hAnsi="Calibri" w:eastAsia="仿宋_GB2312" w:cs="Times New Roman"/>
          <w:sz w:val="28"/>
          <w:szCs w:val="28"/>
        </w:rPr>
        <w:t>%，</w:t>
      </w:r>
      <w:r>
        <w:rPr>
          <w:rFonts w:hint="eastAsia" w:ascii="仿宋_GB2312" w:hAnsi="Calibri" w:eastAsia="仿宋_GB2312" w:cs="Times New Roman"/>
          <w:sz w:val="28"/>
          <w:szCs w:val="28"/>
        </w:rPr>
        <w:t>连续多年在全市各金融机构中稳居第一。荣获了“中国服务县域经济领军银行”、“中国服务小微企业十佳农商行”、“年度十佳支持三农银行”、“十佳</w:t>
      </w:r>
      <w:r>
        <w:rPr>
          <w:rFonts w:ascii="仿宋_GB2312" w:hAnsi="Calibri" w:eastAsia="仿宋_GB2312" w:cs="Times New Roman"/>
          <w:sz w:val="28"/>
          <w:szCs w:val="28"/>
        </w:rPr>
        <w:t>金融市场创新银行</w:t>
      </w:r>
      <w:r>
        <w:rPr>
          <w:rFonts w:hint="eastAsia" w:ascii="仿宋_GB2312" w:hAnsi="Calibri" w:eastAsia="仿宋_GB2312" w:cs="Times New Roman"/>
          <w:sz w:val="28"/>
          <w:szCs w:val="28"/>
        </w:rPr>
        <w:t>”、“江苏省文明单位”、“农村金融服务站优秀主办行”、“农村支付结算环境建设工作先进集体”等光荣称号。</w:t>
      </w:r>
    </w:p>
    <w:p>
      <w:pPr>
        <w:ind w:firstLine="560" w:firstLineChars="200"/>
        <w:rPr>
          <w:rFonts w:ascii="仿宋_GB2312" w:eastAsia="仿宋_GB2312"/>
          <w:sz w:val="28"/>
          <w:szCs w:val="28"/>
        </w:rPr>
      </w:pPr>
      <w:r>
        <w:rPr>
          <w:rFonts w:hint="eastAsia" w:ascii="仿宋_GB2312" w:eastAsia="仿宋_GB2312"/>
          <w:sz w:val="28"/>
          <w:szCs w:val="28"/>
        </w:rPr>
        <w:t>现因业务需要，拟面向社会招聘引进人才，欢迎有识之士加盟。</w:t>
      </w:r>
    </w:p>
    <w:p>
      <w:pPr>
        <w:pStyle w:val="13"/>
        <w:numPr>
          <w:ilvl w:val="0"/>
          <w:numId w:val="1"/>
        </w:numPr>
        <w:ind w:firstLineChars="0"/>
        <w:rPr>
          <w:rFonts w:ascii="仿宋_GB2312" w:eastAsia="仿宋_GB2312"/>
          <w:sz w:val="28"/>
          <w:szCs w:val="28"/>
        </w:rPr>
      </w:pPr>
      <w:r>
        <w:rPr>
          <w:rFonts w:hint="eastAsia" w:ascii="仿宋_GB2312" w:eastAsia="仿宋_GB2312"/>
          <w:sz w:val="28"/>
          <w:szCs w:val="28"/>
        </w:rPr>
        <w:t>招聘岗位与要求</w:t>
      </w:r>
    </w:p>
    <w:p>
      <w:pPr>
        <w:rPr>
          <w:rFonts w:ascii="仿宋_GB2312" w:eastAsia="仿宋_GB2312"/>
          <w:sz w:val="28"/>
          <w:szCs w:val="28"/>
        </w:rPr>
      </w:pPr>
      <w:r>
        <w:rPr>
          <w:rFonts w:hint="eastAsia" w:ascii="仿宋_GB2312" w:eastAsia="仿宋_GB2312"/>
          <w:sz w:val="28"/>
          <w:szCs w:val="28"/>
        </w:rPr>
        <w:t>（一）应聘者应具备以下条件：全日制本科以上学历;</w:t>
      </w:r>
      <w:r>
        <w:rPr>
          <w:rFonts w:ascii="仿宋_GB2312" w:eastAsia="仿宋_GB2312"/>
          <w:sz w:val="28"/>
          <w:szCs w:val="28"/>
        </w:rPr>
        <w:t>性格开朗，具有较强的领悟和学习能力，可快速掌握专业知识，及时开展工作；工作严谨、积极上进、责任心强，逻辑清晰，沟通能力强，具备团队合作精神，抗压能力强。</w:t>
      </w:r>
    </w:p>
    <w:p>
      <w:pPr>
        <w:pStyle w:val="13"/>
        <w:numPr>
          <w:ilvl w:val="0"/>
          <w:numId w:val="2"/>
        </w:numPr>
        <w:ind w:firstLineChars="0"/>
        <w:rPr>
          <w:rFonts w:ascii="仿宋_GB2312" w:eastAsia="仿宋_GB2312"/>
          <w:sz w:val="28"/>
          <w:szCs w:val="28"/>
        </w:rPr>
      </w:pPr>
      <w:r>
        <w:rPr>
          <w:rFonts w:hint="eastAsia" w:ascii="仿宋_GB2312" w:eastAsia="仿宋_GB2312"/>
          <w:sz w:val="28"/>
          <w:szCs w:val="28"/>
        </w:rPr>
        <w:t>招聘岗位：</w:t>
      </w:r>
    </w:p>
    <w:p>
      <w:pPr>
        <w:rPr>
          <w:rFonts w:ascii="仿宋_GB2312" w:eastAsia="仿宋_GB2312"/>
          <w:sz w:val="28"/>
          <w:szCs w:val="28"/>
        </w:rPr>
      </w:pPr>
      <w:r>
        <w:rPr>
          <w:rFonts w:hint="eastAsia" w:ascii="仿宋_GB2312" w:eastAsia="仿宋_GB2312"/>
          <w:sz w:val="28"/>
          <w:szCs w:val="28"/>
        </w:rPr>
        <w:t>1、营销策划岗</w:t>
      </w:r>
    </w:p>
    <w:p>
      <w:pPr>
        <w:rPr>
          <w:rFonts w:ascii="仿宋_GB2312" w:eastAsia="仿宋_GB2312"/>
          <w:sz w:val="28"/>
          <w:szCs w:val="28"/>
        </w:rPr>
      </w:pPr>
      <w:r>
        <w:rPr>
          <w:rFonts w:hint="eastAsia" w:ascii="仿宋_GB2312" w:eastAsia="仿宋_GB2312"/>
          <w:sz w:val="28"/>
          <w:szCs w:val="28"/>
        </w:rPr>
        <w:t>（1）岗位描述</w:t>
      </w:r>
    </w:p>
    <w:p>
      <w:pPr>
        <w:ind w:left="-142" w:firstLine="560" w:firstLineChars="200"/>
        <w:rPr>
          <w:rFonts w:ascii="仿宋_GB2312" w:eastAsia="仿宋_GB2312"/>
          <w:sz w:val="28"/>
          <w:szCs w:val="28"/>
        </w:rPr>
      </w:pPr>
      <w:r>
        <w:rPr>
          <w:rFonts w:hint="eastAsia" w:ascii="仿宋_GB2312" w:eastAsia="仿宋_GB2312"/>
          <w:sz w:val="28"/>
          <w:szCs w:val="28"/>
        </w:rPr>
        <w:t>收集零售条线市场数据，开展调研，客户分析；策划零售营销活动方案；提高零售条线获客能力和销售能力。</w:t>
      </w:r>
    </w:p>
    <w:p>
      <w:pPr>
        <w:rPr>
          <w:rFonts w:ascii="仿宋_GB2312" w:eastAsia="仿宋_GB2312"/>
          <w:sz w:val="28"/>
          <w:szCs w:val="28"/>
        </w:rPr>
      </w:pPr>
      <w:r>
        <w:rPr>
          <w:rFonts w:hint="eastAsia" w:ascii="仿宋_GB2312" w:eastAsia="仿宋_GB2312"/>
          <w:sz w:val="28"/>
          <w:szCs w:val="28"/>
        </w:rPr>
        <w:t>（2）任职条件</w:t>
      </w:r>
    </w:p>
    <w:p>
      <w:pPr>
        <w:ind w:firstLine="560" w:firstLineChars="200"/>
        <w:rPr>
          <w:rFonts w:ascii="仿宋_GB2312" w:eastAsia="仿宋_GB2312"/>
          <w:sz w:val="28"/>
          <w:szCs w:val="28"/>
        </w:rPr>
      </w:pPr>
      <w:r>
        <w:rPr>
          <w:rFonts w:hint="eastAsia" w:ascii="仿宋_GB2312" w:eastAsia="仿宋_GB2312"/>
          <w:sz w:val="28"/>
          <w:szCs w:val="28"/>
        </w:rPr>
        <w:t>35周岁以下；全日制本科及以上学历，市场营销类专业；3年以上相关从业经验。</w:t>
      </w:r>
    </w:p>
    <w:p>
      <w:pPr>
        <w:rPr>
          <w:rFonts w:ascii="仿宋_GB2312" w:eastAsia="仿宋_GB2312"/>
          <w:sz w:val="28"/>
          <w:szCs w:val="28"/>
        </w:rPr>
      </w:pPr>
      <w:r>
        <w:rPr>
          <w:rFonts w:hint="eastAsia" w:ascii="仿宋_GB2312" w:eastAsia="仿宋_GB2312"/>
          <w:sz w:val="28"/>
          <w:szCs w:val="28"/>
        </w:rPr>
        <w:t>2、债券交易岗</w:t>
      </w:r>
    </w:p>
    <w:p>
      <w:pPr>
        <w:rPr>
          <w:rFonts w:ascii="仿宋_GB2312" w:eastAsia="仿宋_GB2312"/>
          <w:sz w:val="28"/>
          <w:szCs w:val="28"/>
        </w:rPr>
      </w:pPr>
      <w:r>
        <w:rPr>
          <w:rFonts w:hint="eastAsia" w:ascii="仿宋_GB2312" w:eastAsia="仿宋_GB2312"/>
          <w:sz w:val="28"/>
          <w:szCs w:val="28"/>
        </w:rPr>
        <w:t>（1）岗位描述：</w:t>
      </w:r>
    </w:p>
    <w:p>
      <w:pPr>
        <w:ind w:firstLine="560" w:firstLineChars="200"/>
        <w:rPr>
          <w:rFonts w:ascii="仿宋_GB2312" w:eastAsia="仿宋_GB2312"/>
          <w:sz w:val="28"/>
          <w:szCs w:val="28"/>
        </w:rPr>
      </w:pPr>
      <w:r>
        <w:rPr>
          <w:rFonts w:hint="eastAsia" w:ascii="仿宋_GB2312" w:eastAsia="仿宋_GB2312"/>
          <w:sz w:val="28"/>
          <w:szCs w:val="28"/>
        </w:rPr>
        <w:t>协助制定债券投资计划和管理债券投资组合；负责银行间债券市场或交易所债券市场相关交易业务；开拓交易对手资源，维护和拓展业务协作关系； 市场研究和分析，定期提交投资和交易分析报告。</w:t>
      </w:r>
    </w:p>
    <w:p>
      <w:pPr>
        <w:rPr>
          <w:rFonts w:ascii="仿宋_GB2312" w:eastAsia="仿宋_GB2312"/>
          <w:sz w:val="28"/>
          <w:szCs w:val="28"/>
        </w:rPr>
      </w:pPr>
      <w:r>
        <w:rPr>
          <w:rFonts w:hint="eastAsia" w:ascii="仿宋_GB2312" w:eastAsia="仿宋_GB2312"/>
          <w:sz w:val="28"/>
          <w:szCs w:val="28"/>
        </w:rPr>
        <w:t>（2）任职条件</w:t>
      </w:r>
    </w:p>
    <w:p>
      <w:pPr>
        <w:ind w:firstLine="560" w:firstLineChars="200"/>
        <w:rPr>
          <w:rFonts w:ascii="仿宋_GB2312" w:eastAsia="仿宋_GB2312"/>
          <w:sz w:val="28"/>
          <w:szCs w:val="28"/>
        </w:rPr>
      </w:pPr>
      <w:r>
        <w:rPr>
          <w:rFonts w:hint="eastAsia" w:ascii="仿宋_GB2312" w:eastAsia="仿宋_GB2312"/>
          <w:sz w:val="28"/>
          <w:szCs w:val="28"/>
        </w:rPr>
        <w:t>35周岁以下；全日制本科以上学历，经济金融类专业；2年以上相关从业经验。</w:t>
      </w:r>
    </w:p>
    <w:p>
      <w:pPr>
        <w:rPr>
          <w:rFonts w:ascii="仿宋_GB2312" w:eastAsia="仿宋_GB2312"/>
          <w:sz w:val="28"/>
          <w:szCs w:val="28"/>
        </w:rPr>
      </w:pPr>
      <w:r>
        <w:rPr>
          <w:rFonts w:hint="eastAsia" w:ascii="仿宋_GB2312" w:eastAsia="仿宋_GB2312"/>
          <w:sz w:val="28"/>
          <w:szCs w:val="28"/>
        </w:rPr>
        <w:t>3、衍生产品交易主管</w:t>
      </w:r>
    </w:p>
    <w:p>
      <w:pPr>
        <w:rPr>
          <w:rFonts w:ascii="仿宋_GB2312" w:eastAsia="仿宋_GB2312"/>
          <w:sz w:val="28"/>
          <w:szCs w:val="28"/>
        </w:rPr>
      </w:pPr>
      <w:r>
        <w:rPr>
          <w:rFonts w:hint="eastAsia" w:ascii="仿宋_GB2312" w:eastAsia="仿宋_GB2312"/>
          <w:sz w:val="28"/>
          <w:szCs w:val="28"/>
        </w:rPr>
        <w:t>（1）岗位描述：</w:t>
      </w:r>
    </w:p>
    <w:p>
      <w:pPr>
        <w:ind w:firstLine="560" w:firstLineChars="200"/>
        <w:rPr>
          <w:rFonts w:ascii="仿宋_GB2312" w:eastAsia="仿宋_GB2312"/>
          <w:sz w:val="28"/>
          <w:szCs w:val="28"/>
        </w:rPr>
      </w:pPr>
      <w:r>
        <w:rPr>
          <w:rFonts w:hint="eastAsia" w:ascii="仿宋_GB2312" w:eastAsia="仿宋_GB2312"/>
          <w:sz w:val="28"/>
          <w:szCs w:val="28"/>
        </w:rPr>
        <w:t>负责衍生品交易资格申办；负责衍生产品开发；负责衍生产品业务交易的自营和代客管理；负责跟踪宏观经济、监管政策和市场变化，研究人民币衍生品、外币衍生品投资策略，构建衍生交易模型，建立健全衍生品投资管理政策、制度与流程。</w:t>
      </w:r>
    </w:p>
    <w:p>
      <w:pPr>
        <w:rPr>
          <w:rFonts w:ascii="仿宋_GB2312" w:eastAsia="仿宋_GB2312"/>
          <w:sz w:val="28"/>
          <w:szCs w:val="28"/>
        </w:rPr>
      </w:pPr>
      <w:r>
        <w:rPr>
          <w:rFonts w:hint="eastAsia" w:ascii="仿宋_GB2312" w:eastAsia="仿宋_GB2312"/>
          <w:sz w:val="28"/>
          <w:szCs w:val="28"/>
        </w:rPr>
        <w:t>（2）任职条件</w:t>
      </w:r>
    </w:p>
    <w:p>
      <w:pPr>
        <w:ind w:firstLine="560" w:firstLineChars="200"/>
        <w:rPr>
          <w:rFonts w:ascii="仿宋_GB2312" w:eastAsia="仿宋_GB2312"/>
          <w:sz w:val="28"/>
          <w:szCs w:val="28"/>
        </w:rPr>
      </w:pPr>
      <w:r>
        <w:rPr>
          <w:rFonts w:hint="eastAsia" w:ascii="仿宋_GB2312" w:eastAsia="仿宋_GB2312"/>
          <w:sz w:val="28"/>
          <w:szCs w:val="28"/>
        </w:rPr>
        <w:t>40周岁以下；全日制本科及以上学历，经济金融类专业；5年以上直接参与衍生产品交易活动或风险管理的资历，且无不良记录，具有CFA、FRM等相关资格证书者优先。</w:t>
      </w:r>
    </w:p>
    <w:p>
      <w:pPr>
        <w:rPr>
          <w:rFonts w:ascii="仿宋_GB2312" w:eastAsia="仿宋_GB2312"/>
          <w:sz w:val="28"/>
          <w:szCs w:val="28"/>
        </w:rPr>
      </w:pPr>
      <w:r>
        <w:rPr>
          <w:rFonts w:hint="eastAsia" w:ascii="仿宋_GB2312" w:eastAsia="仿宋_GB2312"/>
          <w:sz w:val="28"/>
          <w:szCs w:val="28"/>
        </w:rPr>
        <w:t>4、衍生品投资交易岗</w:t>
      </w:r>
    </w:p>
    <w:p>
      <w:pPr>
        <w:rPr>
          <w:rFonts w:ascii="仿宋_GB2312" w:eastAsia="仿宋_GB2312"/>
          <w:sz w:val="28"/>
          <w:szCs w:val="28"/>
        </w:rPr>
      </w:pPr>
      <w:r>
        <w:rPr>
          <w:rFonts w:hint="eastAsia" w:ascii="仿宋_GB2312" w:eastAsia="仿宋_GB2312"/>
          <w:sz w:val="28"/>
          <w:szCs w:val="28"/>
        </w:rPr>
        <w:t>（1）岗位描述：</w:t>
      </w:r>
    </w:p>
    <w:p>
      <w:pPr>
        <w:ind w:firstLine="560" w:firstLineChars="200"/>
        <w:rPr>
          <w:rFonts w:ascii="仿宋_GB2312" w:eastAsia="仿宋_GB2312"/>
          <w:sz w:val="28"/>
          <w:szCs w:val="28"/>
        </w:rPr>
      </w:pPr>
      <w:r>
        <w:rPr>
          <w:rFonts w:hint="eastAsia" w:ascii="仿宋_GB2312" w:eastAsia="仿宋_GB2312"/>
          <w:sz w:val="28"/>
          <w:szCs w:val="28"/>
        </w:rPr>
        <w:t>根据宏观经济、货币政策及衍生品市场走势，进行衍生品投资交易分析，提出交易策略；完成市场询价和交易，包括但不限于利率互换、债券远期等；积极开拓客户资源，并做好与市场成员间的沟通和交流，保持良好的业务合作关系。负责拓展衍生交易对手，与同业签署NAFMII主协议及补充协议。</w:t>
      </w:r>
    </w:p>
    <w:p>
      <w:pPr>
        <w:rPr>
          <w:rFonts w:ascii="仿宋_GB2312" w:eastAsia="仿宋_GB2312"/>
          <w:sz w:val="28"/>
          <w:szCs w:val="28"/>
        </w:rPr>
      </w:pPr>
      <w:r>
        <w:rPr>
          <w:rFonts w:hint="eastAsia" w:ascii="仿宋_GB2312" w:eastAsia="仿宋_GB2312"/>
          <w:sz w:val="28"/>
          <w:szCs w:val="28"/>
        </w:rPr>
        <w:t>（2）任职条件</w:t>
      </w:r>
    </w:p>
    <w:p>
      <w:pPr>
        <w:ind w:firstLine="560" w:firstLineChars="200"/>
        <w:rPr>
          <w:rFonts w:ascii="仿宋_GB2312" w:eastAsia="仿宋_GB2312"/>
          <w:sz w:val="28"/>
          <w:szCs w:val="28"/>
        </w:rPr>
      </w:pPr>
      <w:r>
        <w:rPr>
          <w:rFonts w:hint="eastAsia" w:ascii="仿宋_GB2312" w:eastAsia="仿宋_GB2312"/>
          <w:sz w:val="28"/>
          <w:szCs w:val="28"/>
        </w:rPr>
        <w:t>35周岁以下；全日制本科以上学历，经济金融类专业；有2年以上衍生品投资管理经验，在银行、券商、保险等大型金融机构承担分析、研究、投资类工作经历优先，具有CFA、FRM等相关资格证书者优先。</w:t>
      </w:r>
    </w:p>
    <w:p>
      <w:pPr>
        <w:rPr>
          <w:rFonts w:ascii="仿宋_GB2312" w:eastAsia="仿宋_GB2312"/>
          <w:sz w:val="28"/>
          <w:szCs w:val="28"/>
        </w:rPr>
      </w:pPr>
      <w:r>
        <w:rPr>
          <w:rFonts w:hint="eastAsia" w:ascii="仿宋_GB2312" w:eastAsia="仿宋_GB2312"/>
          <w:sz w:val="28"/>
          <w:szCs w:val="28"/>
        </w:rPr>
        <w:t>5、人力资源岗</w:t>
      </w:r>
    </w:p>
    <w:p>
      <w:pPr>
        <w:rPr>
          <w:rFonts w:ascii="仿宋_GB2312" w:eastAsia="仿宋_GB2312"/>
          <w:sz w:val="28"/>
          <w:szCs w:val="28"/>
        </w:rPr>
      </w:pPr>
      <w:r>
        <w:rPr>
          <w:rFonts w:hint="eastAsia" w:ascii="仿宋_GB2312" w:eastAsia="仿宋_GB2312"/>
          <w:sz w:val="28"/>
          <w:szCs w:val="28"/>
        </w:rPr>
        <w:t>（1）岗位描述：</w:t>
      </w:r>
    </w:p>
    <w:p>
      <w:pPr>
        <w:ind w:firstLine="560" w:firstLineChars="200"/>
        <w:rPr>
          <w:rFonts w:ascii="仿宋_GB2312" w:eastAsia="仿宋_GB2312"/>
          <w:sz w:val="28"/>
          <w:szCs w:val="28"/>
        </w:rPr>
      </w:pPr>
      <w:r>
        <w:rPr>
          <w:rFonts w:hint="eastAsia" w:ascii="仿宋_GB2312" w:eastAsia="仿宋_GB2312"/>
          <w:sz w:val="28"/>
          <w:szCs w:val="28"/>
        </w:rPr>
        <w:t>培训管理：员工培训的计划、开展、总结、评价，员工三级教育的管理、员工职业生涯发展；公司内外部招聘管理：招聘计划的树立、筛选简历、面试、入职培训、合同签订及录用评价，内部岗位竞聘、员工晋升；员工关系管理：负责员工档案、劳动合同签订、相关规章制度拟定、岗位调整、任职资格申报、社保公积金管理。薪酬管理：负责每月薪酬统计、计算、发放，延期支付账户、发放、扣回管理；绩效管理：负责KPI的设定，绩效计算调整，绩效面谈。</w:t>
      </w:r>
    </w:p>
    <w:p>
      <w:pPr>
        <w:rPr>
          <w:rFonts w:ascii="仿宋_GB2312" w:eastAsia="仿宋_GB2312"/>
          <w:sz w:val="28"/>
          <w:szCs w:val="28"/>
        </w:rPr>
      </w:pPr>
      <w:r>
        <w:rPr>
          <w:rFonts w:hint="eastAsia" w:ascii="仿宋_GB2312" w:eastAsia="仿宋_GB2312"/>
          <w:sz w:val="28"/>
          <w:szCs w:val="28"/>
        </w:rPr>
        <w:t>（2）任职条件</w:t>
      </w:r>
    </w:p>
    <w:p>
      <w:pPr>
        <w:ind w:firstLine="560" w:firstLineChars="200"/>
        <w:rPr>
          <w:rFonts w:ascii="仿宋_GB2312" w:eastAsia="仿宋_GB2312"/>
          <w:sz w:val="28"/>
          <w:szCs w:val="28"/>
        </w:rPr>
      </w:pPr>
      <w:r>
        <w:rPr>
          <w:rFonts w:hint="eastAsia" w:ascii="仿宋_GB2312" w:eastAsia="仿宋_GB2312"/>
          <w:sz w:val="28"/>
          <w:szCs w:val="28"/>
        </w:rPr>
        <w:t>35周岁以下；全日制本科以上学历，人力资源管理、行政管理、工商管理专业；人力资源管理师二级从业资质以上；3年以上相关从业经验,有金融、银行从业经历者优先。</w:t>
      </w:r>
    </w:p>
    <w:p>
      <w:pPr>
        <w:rPr>
          <w:rFonts w:ascii="仿宋_GB2312" w:eastAsia="仿宋_GB2312"/>
          <w:sz w:val="28"/>
          <w:szCs w:val="28"/>
        </w:rPr>
      </w:pPr>
      <w:r>
        <w:rPr>
          <w:rFonts w:hint="eastAsia" w:ascii="仿宋_GB2312" w:eastAsia="仿宋_GB2312"/>
          <w:sz w:val="28"/>
          <w:szCs w:val="28"/>
        </w:rPr>
        <w:t>6、信评分析岗</w:t>
      </w:r>
    </w:p>
    <w:p>
      <w:pPr>
        <w:rPr>
          <w:rFonts w:ascii="仿宋_GB2312" w:eastAsia="仿宋_GB2312"/>
          <w:sz w:val="28"/>
          <w:szCs w:val="28"/>
        </w:rPr>
      </w:pPr>
      <w:r>
        <w:rPr>
          <w:rFonts w:hint="eastAsia" w:ascii="仿宋_GB2312" w:eastAsia="仿宋_GB2312"/>
          <w:sz w:val="28"/>
          <w:szCs w:val="28"/>
        </w:rPr>
        <w:t>（1）岗位描述：</w:t>
      </w:r>
    </w:p>
    <w:p>
      <w:pPr>
        <w:pStyle w:val="6"/>
        <w:shd w:val="clear" w:color="auto" w:fill="FFFFFF"/>
        <w:spacing w:before="0" w:beforeAutospacing="0" w:after="0" w:afterAutospacing="0"/>
        <w:ind w:firstLine="700" w:firstLineChars="25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负责对我行所需要了解的信用产品的进行独立的信用分析、评级、定价，并提供投资建议；负责信用风险管理，撰写各种信用风险研究报告和投资建议书；搭建信评系统、整理内评数据库；</w:t>
      </w:r>
    </w:p>
    <w:p>
      <w:pPr>
        <w:pStyle w:val="6"/>
        <w:shd w:val="clear" w:color="auto" w:fill="FFFFFF"/>
        <w:spacing w:before="0" w:beforeAutospacing="0" w:after="0" w:afterAutospacing="0"/>
        <w:rPr>
          <w:rFonts w:ascii="仿宋_GB2312" w:eastAsia="仿宋_GB2312"/>
          <w:sz w:val="28"/>
          <w:szCs w:val="28"/>
        </w:rPr>
      </w:pPr>
      <w:r>
        <w:rPr>
          <w:rFonts w:hint="eastAsia" w:ascii="仿宋_GB2312" w:eastAsia="仿宋_GB2312" w:hAnsiTheme="minorHAnsi" w:cstheme="minorBidi"/>
          <w:kern w:val="2"/>
          <w:sz w:val="28"/>
          <w:szCs w:val="28"/>
        </w:rPr>
        <w:t>（2）</w:t>
      </w:r>
      <w:r>
        <w:rPr>
          <w:rFonts w:hint="eastAsia" w:ascii="仿宋_GB2312" w:eastAsia="仿宋_GB2312"/>
          <w:sz w:val="28"/>
          <w:szCs w:val="28"/>
        </w:rPr>
        <w:t>任职条件</w:t>
      </w:r>
    </w:p>
    <w:p>
      <w:pPr>
        <w:pStyle w:val="6"/>
        <w:shd w:val="clear" w:color="auto" w:fill="FFFFFF"/>
        <w:spacing w:before="0" w:beforeAutospacing="0" w:after="0" w:afterAutospacing="0"/>
        <w:ind w:firstLine="555"/>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35周岁以下，经济、金融类相关专业，本科及以上学历；具有良好的金融、经济理论功底；掌握一定的宏观经济基础知识；具有扎实的财务分析或模型设计等相关知识背景；两年以上信用评级工作经验；具有FRM、CFA等资格者优先。</w:t>
      </w:r>
    </w:p>
    <w:p>
      <w:pPr>
        <w:pStyle w:val="6"/>
        <w:shd w:val="clear" w:color="auto" w:fill="FFFFFF"/>
        <w:spacing w:before="0" w:beforeAutospacing="0" w:after="0" w:afterAutospacing="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7、私人银行岗</w:t>
      </w:r>
    </w:p>
    <w:p>
      <w:pPr>
        <w:pStyle w:val="6"/>
        <w:shd w:val="clear" w:color="auto" w:fill="FFFFFF"/>
        <w:spacing w:before="0" w:beforeAutospacing="0" w:after="0" w:afterAutospacing="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（1）岗位描述</w:t>
      </w:r>
    </w:p>
    <w:p>
      <w:pPr>
        <w:pStyle w:val="6"/>
        <w:shd w:val="clear" w:color="auto" w:fill="FFFFFF"/>
        <w:spacing w:before="0" w:beforeAutospacing="0" w:after="0" w:afterAutospacing="0"/>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开发中高端客户，与客户建立长期良好关系；对客户的综合理财需求分析，帮助客户制订资产配置方案；向客户推介基金理财产品，制定销售方案，完成销售目标；持续跟进与服务，为客户不断提供专业的财富管理咨询。</w:t>
      </w:r>
      <w:r>
        <w:rPr>
          <w:rFonts w:ascii="仿宋_GB2312" w:eastAsia="仿宋_GB2312" w:hAnsiTheme="minorHAnsi" w:cstheme="minorBidi"/>
          <w:kern w:val="2"/>
          <w:sz w:val="28"/>
          <w:szCs w:val="28"/>
        </w:rPr>
        <w:br w:type="textWrapping"/>
      </w:r>
      <w:r>
        <w:rPr>
          <w:rFonts w:hint="eastAsia" w:ascii="仿宋_GB2312" w:eastAsia="仿宋_GB2312" w:hAnsiTheme="minorHAnsi" w:cstheme="minorBidi"/>
          <w:kern w:val="2"/>
          <w:sz w:val="28"/>
          <w:szCs w:val="28"/>
        </w:rPr>
        <w:t>（2）</w:t>
      </w:r>
      <w:r>
        <w:rPr>
          <w:rFonts w:hint="eastAsia" w:ascii="仿宋_GB2312" w:eastAsia="仿宋_GB2312"/>
          <w:sz w:val="28"/>
          <w:szCs w:val="28"/>
        </w:rPr>
        <w:t>任职条件</w:t>
      </w:r>
    </w:p>
    <w:p>
      <w:pPr>
        <w:pStyle w:val="6"/>
        <w:shd w:val="clear" w:color="auto" w:fill="FFFFFF"/>
        <w:spacing w:before="0" w:beforeAutospacing="0" w:after="0" w:afterAutospacing="0"/>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35周岁以下，金融、经济、营销等相关专业本科及以上学历； 2年以上金融机构私人银行经验，或3年以上贵宾理财经验； 熟悉金融业务，具有较好的金融基础理论、财务管理知识、投资理论知识、熟悉行业管理的法律、法规和其他相关政策； 具备良好的沟通能力、敏锐快捷的市场反应能力、较强的团队协作精神；具有良好的行业资源和客户资源者优先；具有CFA、CFP等资格者优先。</w:t>
      </w:r>
    </w:p>
    <w:p>
      <w:pPr>
        <w:pStyle w:val="6"/>
        <w:shd w:val="clear" w:color="auto" w:fill="FFFFFF"/>
        <w:spacing w:before="0" w:beforeAutospacing="0" w:after="0" w:afterAutospacing="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8、宏观研究分析师</w:t>
      </w:r>
    </w:p>
    <w:p>
      <w:pPr>
        <w:pStyle w:val="6"/>
        <w:shd w:val="clear" w:color="auto" w:fill="FFFFFF"/>
        <w:spacing w:before="0" w:beforeAutospacing="0" w:after="0" w:afterAutospacing="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（1）岗位职责</w:t>
      </w:r>
    </w:p>
    <w:p>
      <w:pPr>
        <w:pStyle w:val="6"/>
        <w:shd w:val="clear" w:color="auto" w:fill="FFFFFF"/>
        <w:spacing w:before="0" w:beforeAutospacing="0" w:after="0" w:afterAutospacing="0" w:line="480" w:lineRule="atLeast"/>
        <w:ind w:firstLine="560" w:firstLineChars="200"/>
        <w:rPr>
          <w:rFonts w:ascii="仿宋_GB2312" w:eastAsia="仿宋_GB2312" w:hAnsiTheme="minorHAnsi" w:cstheme="minorBidi"/>
          <w:kern w:val="2"/>
          <w:sz w:val="28"/>
          <w:szCs w:val="28"/>
        </w:rPr>
      </w:pPr>
      <w:r>
        <w:rPr>
          <w:rFonts w:ascii="仿宋_GB2312" w:eastAsia="仿宋_GB2312" w:hAnsiTheme="minorHAnsi" w:cstheme="minorBidi"/>
          <w:kern w:val="2"/>
          <w:sz w:val="28"/>
          <w:szCs w:val="28"/>
        </w:rPr>
        <w:t>针对全球主流国家金融市场及相关货币政策进行可行性有效分析；对市场说出金融环境及关注热点进行分析；有效进行风险分析，控制风险，分析行情市场，给出操作意见；时刻关注操作品种的价格变动和相关重要资讯；对数据分析结果（包括技术面和基本面）进行实时汇总</w:t>
      </w:r>
      <w:r>
        <w:rPr>
          <w:rFonts w:hint="eastAsia" w:ascii="仿宋_GB2312" w:eastAsia="仿宋_GB2312" w:hAnsiTheme="minorHAnsi" w:cstheme="minorBidi"/>
          <w:kern w:val="2"/>
          <w:sz w:val="28"/>
          <w:szCs w:val="28"/>
        </w:rPr>
        <w:t>；</w:t>
      </w:r>
      <w:r>
        <w:rPr>
          <w:rFonts w:ascii="仿宋_GB2312" w:eastAsia="仿宋_GB2312" w:hAnsiTheme="minorHAnsi" w:cstheme="minorBidi"/>
          <w:kern w:val="2"/>
          <w:sz w:val="28"/>
          <w:szCs w:val="28"/>
        </w:rPr>
        <w:t>严格执行公司各项制度，并定期整理工作数据，向上级领导账户分析结果；按照部门主管的要求进行技术和基本面规律的分析，进行数据的搜集或整理</w:t>
      </w:r>
      <w:r>
        <w:rPr>
          <w:rFonts w:hint="eastAsia" w:ascii="仿宋_GB2312" w:eastAsia="仿宋_GB2312" w:hAnsiTheme="minorHAnsi" w:cstheme="minorBidi"/>
          <w:kern w:val="2"/>
          <w:sz w:val="28"/>
          <w:szCs w:val="28"/>
        </w:rPr>
        <w:t>；学习掌握基础分析知识，定期对金融市场定向研究，撰写市场分析报告。</w:t>
      </w:r>
    </w:p>
    <w:p>
      <w:pPr>
        <w:pStyle w:val="6"/>
        <w:shd w:val="clear" w:color="auto" w:fill="FFFFFF"/>
        <w:spacing w:before="0" w:beforeAutospacing="0" w:after="0" w:afterAutospacing="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（2）任职条件</w:t>
      </w:r>
    </w:p>
    <w:p>
      <w:pPr>
        <w:pStyle w:val="6"/>
        <w:shd w:val="clear" w:color="auto" w:fill="FFFFFF"/>
        <w:spacing w:before="0" w:beforeAutospacing="0" w:after="0" w:afterAutospacing="0" w:line="480" w:lineRule="atLeast"/>
        <w:ind w:firstLine="560" w:firstLineChars="200"/>
        <w:rPr>
          <w:rFonts w:ascii="仿宋_GB2312" w:eastAsia="仿宋_GB2312" w:hAnsiTheme="minorHAnsi" w:cstheme="minorBidi"/>
          <w:kern w:val="2"/>
          <w:sz w:val="28"/>
          <w:szCs w:val="28"/>
        </w:rPr>
      </w:pPr>
      <w:r>
        <w:rPr>
          <w:rFonts w:ascii="仿宋_GB2312" w:eastAsia="仿宋_GB2312" w:hAnsiTheme="minorHAnsi" w:cstheme="minorBidi"/>
          <w:kern w:val="2"/>
          <w:sz w:val="28"/>
          <w:szCs w:val="28"/>
        </w:rPr>
        <w:t>本科以上学历，</w:t>
      </w:r>
      <w:r>
        <w:rPr>
          <w:rFonts w:hint="eastAsia" w:ascii="仿宋_GB2312" w:eastAsia="仿宋_GB2312" w:hAnsiTheme="minorHAnsi" w:cstheme="minorBidi"/>
          <w:kern w:val="2"/>
          <w:sz w:val="28"/>
          <w:szCs w:val="28"/>
        </w:rPr>
        <w:t>经济金融相关专业，</w:t>
      </w:r>
      <w:r>
        <w:rPr>
          <w:rFonts w:ascii="仿宋_GB2312" w:eastAsia="仿宋_GB2312" w:hAnsiTheme="minorHAnsi" w:cstheme="minorBidi"/>
          <w:kern w:val="2"/>
          <w:sz w:val="28"/>
          <w:szCs w:val="28"/>
        </w:rPr>
        <w:t>有2年以上</w:t>
      </w:r>
      <w:r>
        <w:rPr>
          <w:rFonts w:hint="eastAsia" w:ascii="仿宋_GB2312" w:eastAsia="仿宋_GB2312" w:hAnsiTheme="minorHAnsi" w:cstheme="minorBidi"/>
          <w:kern w:val="2"/>
          <w:sz w:val="28"/>
          <w:szCs w:val="28"/>
        </w:rPr>
        <w:t>金融行业</w:t>
      </w:r>
      <w:r>
        <w:rPr>
          <w:rFonts w:ascii="仿宋_GB2312" w:eastAsia="仿宋_GB2312" w:hAnsiTheme="minorHAnsi" w:cstheme="minorBidi"/>
          <w:kern w:val="2"/>
          <w:sz w:val="28"/>
          <w:szCs w:val="28"/>
        </w:rPr>
        <w:t>研究所及相关研究机构工作经验；能够独立开展工作；对所负责行业进行深入研究和持续跟踪，能较为准确地判断行业发展趋势，熟悉行业内各重点企业。有较强的文字表达能力，调查能力及判断能力，以及数据分析、逻辑分析能力，能独立撰写行业研究深度分析报告和产业研究报告</w:t>
      </w:r>
      <w:r>
        <w:rPr>
          <w:rFonts w:hint="eastAsia" w:ascii="仿宋_GB2312" w:eastAsia="仿宋_GB2312" w:hAnsiTheme="minorHAnsi" w:cstheme="minorBidi"/>
          <w:kern w:val="2"/>
          <w:sz w:val="28"/>
          <w:szCs w:val="28"/>
        </w:rPr>
        <w:t>；具有FRM、CFA等资格者优先。</w:t>
      </w:r>
    </w:p>
    <w:p>
      <w:pPr>
        <w:pStyle w:val="6"/>
        <w:shd w:val="clear" w:color="auto" w:fill="FFFFFF"/>
        <w:spacing w:before="0" w:beforeAutospacing="0" w:after="0" w:afterAutospacing="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9、法务岗</w:t>
      </w:r>
    </w:p>
    <w:p>
      <w:pPr>
        <w:pStyle w:val="6"/>
        <w:shd w:val="clear" w:color="auto" w:fill="FFFFFF"/>
        <w:spacing w:before="0" w:beforeAutospacing="0" w:after="0" w:afterAutospacing="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（1）岗位职责</w:t>
      </w:r>
    </w:p>
    <w:p>
      <w:pPr>
        <w:pStyle w:val="6"/>
        <w:shd w:val="clear" w:color="auto" w:fill="FFFFFF"/>
        <w:spacing w:before="0" w:beforeAutospacing="0" w:after="0" w:afterAutospacing="0" w:line="560" w:lineRule="atLeas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负责我行应诉和诉讼事务。负责联络、协调外部专业法律机构处理劳资纠纷、经济诉讼和其他法律纠纷以及公司各项法律诉讼前的调查取证和诉讼后的出庭应诉等系列活动。为我行经营决策意向进行法律调研和法律审核，提供选择方案和相应法律依据，保障我行经营决策的安全性和合法性。负责我行重大决策、采购及其他重大经营行为的法律流程控制，制定法律风险解决方案，配合相关部门在重大项目方面进行商务谈判和商务准备工作。负责审核公司各项规章制度、劳资规定、纠纷处理、协议、合同等，以符合法律要求，预防法律风险。组织或配合有关部门开展专项调研或经济活动的尽职调查，研究企业改革与发展中的政策与法律问题，出具法律意见，为领导决策提供依据。负责收集、整理与收集经营管理有关的法律、法规、政策文件资料。根据我行发展规划及国家、行业变化情况，不断优化法律信息库，调整和补充法律标准信息。</w:t>
      </w:r>
    </w:p>
    <w:p>
      <w:pPr>
        <w:pStyle w:val="6"/>
        <w:shd w:val="clear" w:color="auto" w:fill="FFFFFF"/>
        <w:spacing w:before="0" w:beforeAutospacing="0" w:after="0" w:afterAutospacing="0" w:line="560" w:lineRule="atLeast"/>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（2）任职条件</w:t>
      </w:r>
    </w:p>
    <w:p>
      <w:pPr>
        <w:pStyle w:val="6"/>
        <w:shd w:val="clear" w:color="auto" w:fill="FFFFFF"/>
        <w:spacing w:before="0" w:beforeAutospacing="0" w:after="0" w:afterAutospacing="0" w:line="560" w:lineRule="atLeast"/>
        <w:ind w:firstLine="560" w:firstLineChars="20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法律专业本科以上学历，有司法资格证， 3年以上企业法务工作经验或2年以上律师工作经验；正义正直、成熟稳重、外向开朗、积极负责； 熟悉相关法律法规，政策条例，有法务纠纷处理及诉讼经验。具有良好的语言表达能力及书面写作能力。工作有条理、计划性，原则性强，正直、踏实，办事沉稳、细致、沟通能力强；熟练使用word/excel等日常办公软件，有金融银行从业经历者优先。</w:t>
      </w:r>
    </w:p>
    <w:p>
      <w:pPr>
        <w:ind w:left="-142"/>
        <w:rPr>
          <w:rFonts w:ascii="仿宋_GB2312" w:eastAsia="仿宋_GB2312"/>
          <w:sz w:val="28"/>
          <w:szCs w:val="28"/>
        </w:rPr>
      </w:pPr>
      <w:r>
        <w:rPr>
          <w:rFonts w:hint="eastAsia" w:ascii="仿宋_GB2312" w:eastAsia="仿宋_GB2312"/>
          <w:sz w:val="28"/>
          <w:szCs w:val="28"/>
        </w:rPr>
        <w:t>二、应聘须知</w:t>
      </w:r>
    </w:p>
    <w:p>
      <w:pPr>
        <w:ind w:left="1"/>
        <w:rPr>
          <w:rFonts w:ascii="仿宋_GB2312" w:eastAsia="仿宋_GB2312"/>
          <w:sz w:val="28"/>
          <w:szCs w:val="28"/>
        </w:rPr>
      </w:pPr>
      <w:r>
        <w:rPr>
          <w:rFonts w:hint="eastAsia" w:ascii="仿宋_GB2312" w:eastAsia="仿宋_GB2312"/>
          <w:sz w:val="28"/>
          <w:szCs w:val="28"/>
        </w:rPr>
        <w:t>（一）下载《启东农商银行引进人才招聘登记表》，如实、完整填写，粘贴近期免冠照片（正面一寸证件照），由本人手工签名确认（如提交电子版请提交扫描件），并附身份证复印件，职业资格、从业资格、专业技术资格相关证书复印件，学历、学位证书复印件，中国高等教育学历证书网上查询结果（学信网学历证明），工作经历证明材料（现单位开具的工作证明、劳动合同、解除劳动合同决定书等），邮寄至启东农商银行人力资源部（请在右上角注明“招聘”字样），也可发送到电子邮箱：</w:t>
      </w:r>
      <w:r>
        <w:fldChar w:fldCharType="begin"/>
      </w:r>
      <w:r>
        <w:instrText xml:space="preserve"> HYPERLINK "mailto:rlzyb@jsqdrcb.com" </w:instrText>
      </w:r>
      <w:r>
        <w:fldChar w:fldCharType="separate"/>
      </w:r>
      <w:r>
        <w:rPr>
          <w:rStyle w:val="8"/>
          <w:rFonts w:hint="eastAsia" w:ascii="仿宋_GB2312" w:eastAsia="仿宋_GB2312"/>
          <w:sz w:val="28"/>
          <w:szCs w:val="28"/>
        </w:rPr>
        <w:t>rlzyb@jsqdrcb.com</w:t>
      </w:r>
      <w:r>
        <w:rPr>
          <w:rStyle w:val="8"/>
          <w:rFonts w:hint="eastAsia" w:ascii="仿宋_GB2312" w:eastAsia="仿宋_GB2312"/>
          <w:sz w:val="28"/>
          <w:szCs w:val="28"/>
        </w:rPr>
        <w:fldChar w:fldCharType="end"/>
      </w:r>
      <w:r>
        <w:rPr>
          <w:rFonts w:hint="eastAsia" w:ascii="仿宋_GB2312" w:eastAsia="仿宋_GB2312"/>
          <w:sz w:val="28"/>
          <w:szCs w:val="28"/>
        </w:rPr>
        <w:t>。</w:t>
      </w:r>
    </w:p>
    <w:p>
      <w:pPr>
        <w:rPr>
          <w:rFonts w:ascii="仿宋_GB2312" w:eastAsia="仿宋_GB2312"/>
          <w:sz w:val="28"/>
          <w:szCs w:val="28"/>
        </w:rPr>
      </w:pPr>
      <w:r>
        <w:rPr>
          <w:rFonts w:hint="eastAsia" w:ascii="仿宋_GB2312" w:eastAsia="仿宋_GB2312"/>
          <w:sz w:val="28"/>
          <w:szCs w:val="28"/>
        </w:rPr>
        <w:t>（二）我行在收到应聘材料15个工作日内组织面试，面试后根据面试情况，20个工作日内通知面试结果。</w:t>
      </w:r>
    </w:p>
    <w:p>
      <w:pPr>
        <w:ind w:left="2"/>
        <w:rPr>
          <w:rFonts w:ascii="仿宋_GB2312" w:eastAsia="仿宋_GB2312"/>
          <w:sz w:val="28"/>
          <w:szCs w:val="28"/>
        </w:rPr>
      </w:pPr>
      <w:r>
        <w:rPr>
          <w:rFonts w:hint="eastAsia" w:ascii="仿宋_GB2312" w:eastAsia="仿宋_GB2312"/>
          <w:sz w:val="28"/>
          <w:szCs w:val="28"/>
        </w:rPr>
        <w:t>（三）经初审合格者，我行将通知面试，我行将妥善保管应聘者个人信息，所有应聘材料恕不退还。</w:t>
      </w:r>
    </w:p>
    <w:p>
      <w:pPr>
        <w:ind w:left="2"/>
        <w:rPr>
          <w:rFonts w:ascii="仿宋_GB2312" w:eastAsia="仿宋_GB2312"/>
          <w:sz w:val="28"/>
          <w:szCs w:val="28"/>
        </w:rPr>
      </w:pPr>
      <w:r>
        <w:rPr>
          <w:rFonts w:hint="eastAsia" w:ascii="仿宋_GB2312" w:eastAsia="仿宋_GB2312"/>
          <w:sz w:val="28"/>
          <w:szCs w:val="28"/>
        </w:rPr>
        <w:t>（四）面试、考察、体检合格人员由我行按规定程序办理正式员工录用手续。本行将根据被录用人的能力提供富有竞争力的薪酬福利以及培养晋升机会。</w:t>
      </w:r>
    </w:p>
    <w:p>
      <w:pPr>
        <w:pStyle w:val="13"/>
        <w:numPr>
          <w:ilvl w:val="0"/>
          <w:numId w:val="3"/>
        </w:numPr>
        <w:ind w:firstLineChars="0"/>
        <w:rPr>
          <w:rFonts w:ascii="仿宋_GB2312" w:eastAsia="仿宋_GB2312"/>
          <w:sz w:val="28"/>
          <w:szCs w:val="28"/>
        </w:rPr>
      </w:pPr>
      <w:r>
        <w:rPr>
          <w:rFonts w:hint="eastAsia" w:ascii="仿宋_GB2312" w:eastAsia="仿宋_GB2312"/>
          <w:sz w:val="28"/>
          <w:szCs w:val="28"/>
        </w:rPr>
        <w:t>注意事项</w:t>
      </w:r>
    </w:p>
    <w:p>
      <w:pPr>
        <w:rPr>
          <w:rFonts w:ascii="仿宋_GB2312" w:eastAsia="仿宋_GB2312"/>
          <w:sz w:val="28"/>
          <w:szCs w:val="28"/>
        </w:rPr>
      </w:pPr>
      <w:r>
        <w:rPr>
          <w:rFonts w:hint="eastAsia" w:ascii="仿宋_GB2312" w:eastAsia="仿宋_GB2312"/>
          <w:sz w:val="28"/>
          <w:szCs w:val="28"/>
        </w:rPr>
        <w:t>（一）本行根据应聘者提交的信息进行审核，应聘者应对申请资料的真实性负责。如与事实不符，本行有权取消其考试及录用资格，由此导致的后果由应聘者自行负责。</w:t>
      </w:r>
    </w:p>
    <w:p>
      <w:pPr>
        <w:rPr>
          <w:rFonts w:ascii="仿宋_GB2312" w:eastAsia="仿宋_GB2312"/>
          <w:sz w:val="28"/>
          <w:szCs w:val="28"/>
        </w:rPr>
      </w:pPr>
      <w:r>
        <w:rPr>
          <w:rFonts w:hint="eastAsia" w:ascii="仿宋_GB2312" w:eastAsia="仿宋_GB2312"/>
          <w:sz w:val="28"/>
          <w:szCs w:val="28"/>
        </w:rPr>
        <w:t>（二）本行有权根据岗位需求变化及报名情况等因素，调整或取消个别岗位的招聘，并对本次招聘享有最终解释权。</w:t>
      </w:r>
    </w:p>
    <w:p>
      <w:pPr>
        <w:rPr>
          <w:rFonts w:ascii="仿宋_GB2312" w:eastAsia="仿宋_GB2312"/>
          <w:sz w:val="28"/>
          <w:szCs w:val="28"/>
        </w:rPr>
      </w:pPr>
      <w:r>
        <w:rPr>
          <w:rFonts w:hint="eastAsia" w:ascii="仿宋_GB2312" w:eastAsia="仿宋_GB2312"/>
          <w:sz w:val="28"/>
          <w:szCs w:val="28"/>
        </w:rPr>
        <w:t>（三）录用人员工资、福利待遇按我行有关规定执行。被聘用人员如不服从分配或不愿签订劳动合同，本行有权不聘或解聘。</w:t>
      </w:r>
    </w:p>
    <w:p>
      <w:pPr>
        <w:rPr>
          <w:rFonts w:ascii="仿宋_GB2312" w:eastAsia="仿宋_GB2312"/>
          <w:sz w:val="28"/>
          <w:szCs w:val="28"/>
        </w:rPr>
      </w:pPr>
      <w:r>
        <w:rPr>
          <w:rFonts w:hint="eastAsia" w:ascii="仿宋_GB2312" w:eastAsia="仿宋_GB2312"/>
          <w:sz w:val="28"/>
          <w:szCs w:val="28"/>
        </w:rPr>
        <w:t>（四）招聘期间，本行会通过电子邮件、短信等方式与应聘者联系，请保持通讯畅通。</w:t>
      </w:r>
    </w:p>
    <w:p>
      <w:pPr>
        <w:rPr>
          <w:rFonts w:ascii="仿宋_GB2312" w:eastAsia="仿宋_GB2312"/>
          <w:sz w:val="28"/>
          <w:szCs w:val="28"/>
        </w:rPr>
      </w:pPr>
      <w:r>
        <w:rPr>
          <w:rFonts w:hint="eastAsia" w:ascii="仿宋_GB2312" w:eastAsia="仿宋_GB2312"/>
          <w:sz w:val="28"/>
          <w:szCs w:val="28"/>
        </w:rPr>
        <w:t>（五）如对本次招聘有其他方面的疑问请与我行联系。</w:t>
      </w:r>
    </w:p>
    <w:p>
      <w:pPr>
        <w:pStyle w:val="2"/>
        <w:ind w:left="1200" w:firstLine="0" w:firstLineChars="0"/>
        <w:rPr>
          <w:rFonts w:ascii="仿宋_GB2312" w:eastAsia="仿宋_GB2312" w:hAnsiTheme="minorHAnsi" w:cstheme="minorBidi"/>
          <w:szCs w:val="28"/>
        </w:rPr>
      </w:pPr>
      <w:r>
        <w:rPr>
          <w:rFonts w:hint="eastAsia" w:ascii="仿宋_GB2312" w:eastAsia="仿宋_GB2312" w:hAnsiTheme="minorHAnsi" w:cstheme="minorBidi"/>
          <w:szCs w:val="28"/>
        </w:rPr>
        <w:t>联系电话：0513-83349703。</w:t>
      </w:r>
    </w:p>
    <w:p>
      <w:pPr>
        <w:pStyle w:val="2"/>
        <w:ind w:left="1200" w:firstLine="0" w:firstLineChars="0"/>
        <w:rPr>
          <w:rFonts w:ascii="仿宋_GB2312" w:eastAsia="仿宋_GB2312" w:hAnsiTheme="minorHAnsi" w:cstheme="minorBidi"/>
          <w:szCs w:val="28"/>
        </w:rPr>
      </w:pPr>
      <w:r>
        <w:rPr>
          <w:rFonts w:hint="eastAsia" w:ascii="仿宋_GB2312" w:eastAsia="仿宋_GB2312" w:hAnsiTheme="minorHAnsi" w:cstheme="minorBidi"/>
          <w:szCs w:val="28"/>
        </w:rPr>
        <w:t>地址：江苏省启东市汇龙镇人民中路599号</w:t>
      </w:r>
    </w:p>
    <w:p>
      <w:pPr>
        <w:pStyle w:val="2"/>
        <w:ind w:left="1200" w:firstLine="0" w:firstLineChars="0"/>
        <w:rPr>
          <w:rFonts w:ascii="仿宋_GB2312" w:eastAsia="仿宋_GB2312" w:hAnsiTheme="minorHAnsi" w:cstheme="minorBidi"/>
          <w:szCs w:val="28"/>
        </w:rPr>
      </w:pPr>
      <w:r>
        <w:rPr>
          <w:rFonts w:hint="eastAsia" w:ascii="仿宋_GB2312" w:eastAsia="仿宋_GB2312" w:hAnsiTheme="minorHAnsi" w:cstheme="minorBidi"/>
          <w:szCs w:val="28"/>
        </w:rPr>
        <w:t>邮编：226200</w:t>
      </w:r>
    </w:p>
    <w:p>
      <w:pPr>
        <w:pStyle w:val="2"/>
        <w:ind w:firstLine="0" w:firstLineChars="0"/>
        <w:rPr>
          <w:rFonts w:ascii="仿宋_GB2312" w:eastAsia="仿宋_GB2312" w:hAnsiTheme="minorHAnsi" w:cstheme="minorBidi"/>
          <w:szCs w:val="28"/>
        </w:rPr>
      </w:pPr>
      <w:r>
        <w:rPr>
          <w:rFonts w:hint="eastAsia" w:ascii="仿宋_GB2312" w:eastAsia="仿宋_GB2312"/>
          <w:szCs w:val="28"/>
        </w:rPr>
        <w:t>（六）本简章由启东农商银行负责解释。</w:t>
      </w:r>
    </w:p>
    <w:p>
      <w:pPr>
        <w:ind w:firstLine="560" w:firstLineChars="200"/>
        <w:jc w:val="right"/>
        <w:rPr>
          <w:rFonts w:ascii="仿宋_GB2312" w:eastAsia="仿宋_GB2312"/>
          <w:sz w:val="28"/>
          <w:szCs w:val="28"/>
        </w:rPr>
      </w:pPr>
    </w:p>
    <w:p>
      <w:pPr>
        <w:ind w:firstLine="560" w:firstLineChars="200"/>
        <w:jc w:val="right"/>
        <w:rPr>
          <w:rFonts w:ascii="仿宋_GB2312" w:eastAsia="仿宋_GB2312"/>
          <w:sz w:val="28"/>
          <w:szCs w:val="28"/>
        </w:rPr>
      </w:pPr>
      <w:r>
        <w:rPr>
          <w:rFonts w:hint="eastAsia" w:ascii="仿宋_GB2312" w:eastAsia="仿宋_GB2312"/>
          <w:sz w:val="28"/>
          <w:szCs w:val="28"/>
        </w:rPr>
        <w:t>启东农商银行</w:t>
      </w:r>
    </w:p>
    <w:p>
      <w:pPr>
        <w:ind w:firstLine="560" w:firstLineChars="200"/>
        <w:jc w:val="right"/>
        <w:rPr>
          <w:rFonts w:ascii="仿宋_GB2312" w:eastAsia="仿宋_GB2312"/>
          <w:sz w:val="28"/>
          <w:szCs w:val="28"/>
        </w:rPr>
      </w:pPr>
      <w:r>
        <w:rPr>
          <w:rFonts w:hint="eastAsia" w:ascii="仿宋_GB2312" w:eastAsia="仿宋_GB2312"/>
          <w:sz w:val="28"/>
          <w:szCs w:val="28"/>
        </w:rPr>
        <w:t>2018年9月25日</w:t>
      </w:r>
    </w:p>
    <w:p>
      <w:pPr>
        <w:rPr>
          <w:rFonts w:ascii="仿宋_GB2312" w:eastAsia="仿宋_GB2312"/>
          <w:sz w:val="28"/>
          <w:szCs w:val="28"/>
        </w:rPr>
      </w:pPr>
    </w:p>
    <w:p>
      <w:pPr>
        <w:rPr>
          <w:rFonts w:ascii="仿宋_GB2312" w:eastAsia="仿宋_GB2312"/>
          <w:sz w:val="28"/>
          <w:szCs w:val="28"/>
        </w:rPr>
      </w:pPr>
      <w:r>
        <w:rPr>
          <w:rFonts w:hint="eastAsia" w:ascii="仿宋_GB2312" w:eastAsia="仿宋_GB2312"/>
          <w:sz w:val="28"/>
          <w:szCs w:val="28"/>
        </w:rPr>
        <w:t>附件1：《启东农商银行引进人才应聘登记表》</w:t>
      </w:r>
    </w:p>
    <w:p/>
    <w:p/>
    <w:p/>
    <w:p/>
    <w:p/>
    <w:p/>
    <w:p/>
    <w:p/>
    <w:p/>
    <w:p/>
    <w:p>
      <w:r>
        <w:rPr>
          <w:rFonts w:hint="eastAsia"/>
        </w:rPr>
        <w:t>附件1：</w:t>
      </w:r>
    </w:p>
    <w:tbl>
      <w:tblPr>
        <w:tblStyle w:val="9"/>
        <w:tblpPr w:leftFromText="180" w:rightFromText="180" w:vertAnchor="page" w:horzAnchor="margin" w:tblpY="2514"/>
        <w:tblW w:w="85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0"/>
        <w:gridCol w:w="991"/>
        <w:gridCol w:w="149"/>
        <w:gridCol w:w="498"/>
        <w:gridCol w:w="58"/>
        <w:gridCol w:w="153"/>
        <w:gridCol w:w="420"/>
        <w:gridCol w:w="288"/>
        <w:gridCol w:w="131"/>
        <w:gridCol w:w="142"/>
        <w:gridCol w:w="861"/>
        <w:gridCol w:w="131"/>
        <w:gridCol w:w="1134"/>
        <w:gridCol w:w="320"/>
        <w:gridCol w:w="389"/>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应聘专业职位</w:t>
            </w:r>
          </w:p>
        </w:tc>
        <w:tc>
          <w:tcPr>
            <w:tcW w:w="7005" w:type="dxa"/>
            <w:gridSpan w:val="1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姓名</w:t>
            </w:r>
          </w:p>
        </w:tc>
        <w:tc>
          <w:tcPr>
            <w:tcW w:w="1140" w:type="dxa"/>
            <w:gridSpan w:val="2"/>
            <w:vAlign w:val="center"/>
          </w:tcPr>
          <w:p>
            <w:pPr>
              <w:jc w:val="center"/>
            </w:pPr>
          </w:p>
        </w:tc>
        <w:tc>
          <w:tcPr>
            <w:tcW w:w="709" w:type="dxa"/>
            <w:gridSpan w:val="3"/>
            <w:vAlign w:val="center"/>
          </w:tcPr>
          <w:p>
            <w:pPr>
              <w:jc w:val="center"/>
            </w:pPr>
            <w:r>
              <w:rPr>
                <w:rFonts w:hint="eastAsia"/>
              </w:rPr>
              <w:t>性别</w:t>
            </w:r>
          </w:p>
        </w:tc>
        <w:tc>
          <w:tcPr>
            <w:tcW w:w="708" w:type="dxa"/>
            <w:gridSpan w:val="2"/>
            <w:vAlign w:val="center"/>
          </w:tcPr>
          <w:p>
            <w:pPr>
              <w:jc w:val="center"/>
            </w:pPr>
          </w:p>
        </w:tc>
        <w:tc>
          <w:tcPr>
            <w:tcW w:w="1134" w:type="dxa"/>
            <w:gridSpan w:val="3"/>
            <w:tcBorders>
              <w:right w:val="single" w:color="auto" w:sz="4" w:space="0"/>
            </w:tcBorders>
            <w:vAlign w:val="center"/>
          </w:tcPr>
          <w:p>
            <w:pPr>
              <w:jc w:val="center"/>
            </w:pPr>
            <w:r>
              <w:rPr>
                <w:rFonts w:hint="eastAsia"/>
              </w:rPr>
              <w:t>出生年月</w:t>
            </w:r>
          </w:p>
        </w:tc>
        <w:tc>
          <w:tcPr>
            <w:tcW w:w="1585" w:type="dxa"/>
            <w:gridSpan w:val="3"/>
            <w:tcBorders>
              <w:left w:val="single" w:color="auto" w:sz="4" w:space="0"/>
            </w:tcBorders>
            <w:vAlign w:val="center"/>
          </w:tcPr>
          <w:p>
            <w:pPr>
              <w:jc w:val="center"/>
            </w:pPr>
          </w:p>
        </w:tc>
        <w:tc>
          <w:tcPr>
            <w:tcW w:w="1729" w:type="dxa"/>
            <w:gridSpan w:val="2"/>
            <w:vMerge w:val="restart"/>
            <w:tcBorders>
              <w:right w:val="single" w:color="auto" w:sz="4" w:space="0"/>
            </w:tcBorders>
            <w:vAlign w:val="center"/>
          </w:tcPr>
          <w:p>
            <w:pPr>
              <w:jc w:val="center"/>
            </w:pPr>
            <w:r>
              <w:rPr>
                <w:rFonts w:hint="eastAsia"/>
              </w:rPr>
              <w:t>相片（1寸白底数码彩照）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政治面貌</w:t>
            </w:r>
          </w:p>
        </w:tc>
        <w:tc>
          <w:tcPr>
            <w:tcW w:w="1140" w:type="dxa"/>
            <w:gridSpan w:val="2"/>
            <w:vAlign w:val="center"/>
          </w:tcPr>
          <w:p>
            <w:pPr>
              <w:jc w:val="center"/>
            </w:pPr>
          </w:p>
        </w:tc>
        <w:tc>
          <w:tcPr>
            <w:tcW w:w="709" w:type="dxa"/>
            <w:gridSpan w:val="3"/>
            <w:tcBorders>
              <w:right w:val="single" w:color="auto" w:sz="4" w:space="0"/>
            </w:tcBorders>
            <w:vAlign w:val="center"/>
          </w:tcPr>
          <w:p>
            <w:pPr>
              <w:jc w:val="center"/>
            </w:pPr>
            <w:r>
              <w:rPr>
                <w:rFonts w:hint="eastAsia"/>
              </w:rPr>
              <w:t>民族</w:t>
            </w:r>
          </w:p>
        </w:tc>
        <w:tc>
          <w:tcPr>
            <w:tcW w:w="708" w:type="dxa"/>
            <w:gridSpan w:val="2"/>
            <w:tcBorders>
              <w:left w:val="single" w:color="auto" w:sz="4" w:space="0"/>
            </w:tcBorders>
            <w:vAlign w:val="center"/>
          </w:tcPr>
          <w:p/>
        </w:tc>
        <w:tc>
          <w:tcPr>
            <w:tcW w:w="1134" w:type="dxa"/>
            <w:gridSpan w:val="3"/>
            <w:tcBorders>
              <w:right w:val="single" w:color="auto" w:sz="4" w:space="0"/>
            </w:tcBorders>
            <w:vAlign w:val="center"/>
          </w:tcPr>
          <w:p>
            <w:pPr>
              <w:jc w:val="center"/>
            </w:pPr>
            <w:r>
              <w:rPr>
                <w:rFonts w:hint="eastAsia"/>
              </w:rPr>
              <w:t>专业特长</w:t>
            </w:r>
          </w:p>
        </w:tc>
        <w:tc>
          <w:tcPr>
            <w:tcW w:w="1585" w:type="dxa"/>
            <w:gridSpan w:val="3"/>
            <w:tcBorders>
              <w:left w:val="single" w:color="auto" w:sz="4" w:space="0"/>
            </w:tcBorders>
            <w:vAlign w:val="center"/>
          </w:tcPr>
          <w:p>
            <w:pPr>
              <w:jc w:val="center"/>
            </w:pPr>
          </w:p>
        </w:tc>
        <w:tc>
          <w:tcPr>
            <w:tcW w:w="1729" w:type="dxa"/>
            <w:gridSpan w:val="2"/>
            <w:vMerge w:val="continue"/>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身份证号码</w:t>
            </w:r>
          </w:p>
        </w:tc>
        <w:tc>
          <w:tcPr>
            <w:tcW w:w="5276" w:type="dxa"/>
            <w:gridSpan w:val="13"/>
            <w:vAlign w:val="center"/>
          </w:tcPr>
          <w:p>
            <w:pPr>
              <w:jc w:val="center"/>
            </w:pPr>
          </w:p>
        </w:tc>
        <w:tc>
          <w:tcPr>
            <w:tcW w:w="1729" w:type="dxa"/>
            <w:gridSpan w:val="2"/>
            <w:vMerge w:val="continue"/>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婚育状况</w:t>
            </w:r>
          </w:p>
        </w:tc>
        <w:tc>
          <w:tcPr>
            <w:tcW w:w="5276" w:type="dxa"/>
            <w:gridSpan w:val="13"/>
            <w:vAlign w:val="center"/>
          </w:tcPr>
          <w:p>
            <w:pPr>
              <w:jc w:val="center"/>
            </w:pPr>
            <w:r>
              <w:rPr>
                <w:rFonts w:hint="eastAsia"/>
              </w:rPr>
              <w:t>□已婚已育 □已婚未育 □未婚 □离异</w:t>
            </w:r>
          </w:p>
        </w:tc>
        <w:tc>
          <w:tcPr>
            <w:tcW w:w="1729" w:type="dxa"/>
            <w:gridSpan w:val="2"/>
            <w:vMerge w:val="continue"/>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籍贯</w:t>
            </w:r>
          </w:p>
        </w:tc>
        <w:tc>
          <w:tcPr>
            <w:tcW w:w="1696" w:type="dxa"/>
            <w:gridSpan w:val="4"/>
            <w:vAlign w:val="center"/>
          </w:tcPr>
          <w:p>
            <w:pPr>
              <w:jc w:val="center"/>
            </w:pPr>
          </w:p>
        </w:tc>
        <w:tc>
          <w:tcPr>
            <w:tcW w:w="1134" w:type="dxa"/>
            <w:gridSpan w:val="5"/>
            <w:vAlign w:val="center"/>
          </w:tcPr>
          <w:p>
            <w:pPr>
              <w:jc w:val="center"/>
            </w:pPr>
            <w:r>
              <w:rPr>
                <w:rFonts w:hint="eastAsia"/>
              </w:rPr>
              <w:t>健康状况</w:t>
            </w:r>
          </w:p>
        </w:tc>
        <w:tc>
          <w:tcPr>
            <w:tcW w:w="2446" w:type="dxa"/>
            <w:gridSpan w:val="4"/>
            <w:vAlign w:val="center"/>
          </w:tcPr>
          <w:p>
            <w:pPr>
              <w:jc w:val="center"/>
            </w:pPr>
          </w:p>
        </w:tc>
        <w:tc>
          <w:tcPr>
            <w:tcW w:w="1729" w:type="dxa"/>
            <w:gridSpan w:val="2"/>
            <w:vMerge w:val="continue"/>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联系电话</w:t>
            </w:r>
          </w:p>
        </w:tc>
        <w:tc>
          <w:tcPr>
            <w:tcW w:w="1696" w:type="dxa"/>
            <w:gridSpan w:val="4"/>
            <w:vAlign w:val="center"/>
          </w:tcPr>
          <w:p>
            <w:pPr>
              <w:jc w:val="center"/>
            </w:pPr>
          </w:p>
        </w:tc>
        <w:tc>
          <w:tcPr>
            <w:tcW w:w="1134" w:type="dxa"/>
            <w:gridSpan w:val="5"/>
            <w:vAlign w:val="center"/>
          </w:tcPr>
          <w:p>
            <w:pPr>
              <w:jc w:val="center"/>
            </w:pPr>
            <w:r>
              <w:rPr>
                <w:rFonts w:hint="eastAsia"/>
              </w:rPr>
              <w:t>电子邮箱</w:t>
            </w:r>
          </w:p>
        </w:tc>
        <w:tc>
          <w:tcPr>
            <w:tcW w:w="2446" w:type="dxa"/>
            <w:gridSpan w:val="4"/>
            <w:vAlign w:val="center"/>
          </w:tcPr>
          <w:p>
            <w:pPr>
              <w:jc w:val="center"/>
            </w:pPr>
          </w:p>
        </w:tc>
        <w:tc>
          <w:tcPr>
            <w:tcW w:w="1729" w:type="dxa"/>
            <w:gridSpan w:val="2"/>
            <w:vMerge w:val="continue"/>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现居住地址</w:t>
            </w:r>
          </w:p>
        </w:tc>
        <w:tc>
          <w:tcPr>
            <w:tcW w:w="5276" w:type="dxa"/>
            <w:gridSpan w:val="13"/>
            <w:vAlign w:val="center"/>
          </w:tcPr>
          <w:p>
            <w:pPr>
              <w:jc w:val="center"/>
            </w:pPr>
          </w:p>
        </w:tc>
        <w:tc>
          <w:tcPr>
            <w:tcW w:w="1729" w:type="dxa"/>
            <w:gridSpan w:val="2"/>
            <w:vMerge w:val="continue"/>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1520" w:type="dxa"/>
            <w:vAlign w:val="center"/>
          </w:tcPr>
          <w:p>
            <w:pPr>
              <w:jc w:val="center"/>
            </w:pPr>
            <w:r>
              <w:rPr>
                <w:rFonts w:hint="eastAsia"/>
              </w:rPr>
              <w:t>专业技术资格</w:t>
            </w:r>
          </w:p>
        </w:tc>
        <w:tc>
          <w:tcPr>
            <w:tcW w:w="5276" w:type="dxa"/>
            <w:gridSpan w:val="13"/>
            <w:vAlign w:val="center"/>
          </w:tcPr>
          <w:p>
            <w:pPr>
              <w:jc w:val="center"/>
            </w:pPr>
          </w:p>
        </w:tc>
        <w:tc>
          <w:tcPr>
            <w:tcW w:w="1729" w:type="dxa"/>
            <w:gridSpan w:val="2"/>
            <w:vMerge w:val="continue"/>
            <w:tcBorders>
              <w:right w:val="single" w:color="auto" w:sz="4" w:space="0"/>
            </w:tcBorders>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trPr>
        <w:tc>
          <w:tcPr>
            <w:tcW w:w="1520" w:type="dxa"/>
            <w:vMerge w:val="restart"/>
            <w:vAlign w:val="center"/>
          </w:tcPr>
          <w:p>
            <w:pPr>
              <w:jc w:val="center"/>
            </w:pPr>
            <w:r>
              <w:rPr>
                <w:rFonts w:hint="eastAsia"/>
              </w:rPr>
              <w:t>学</w:t>
            </w:r>
          </w:p>
          <w:p>
            <w:pPr>
              <w:jc w:val="center"/>
            </w:pPr>
            <w:r>
              <w:rPr>
                <w:rFonts w:hint="eastAsia"/>
              </w:rPr>
              <w:t>习</w:t>
            </w:r>
          </w:p>
          <w:p>
            <w:pPr>
              <w:jc w:val="center"/>
            </w:pPr>
            <w:r>
              <w:rPr>
                <w:rFonts w:hint="eastAsia"/>
              </w:rPr>
              <w:t>经</w:t>
            </w:r>
          </w:p>
          <w:p>
            <w:pPr>
              <w:jc w:val="center"/>
            </w:pPr>
            <w:r>
              <w:rPr>
                <w:rFonts w:hint="eastAsia"/>
              </w:rPr>
              <w:t>历</w:t>
            </w:r>
          </w:p>
          <w:p>
            <w:pPr>
              <w:jc w:val="center"/>
            </w:pPr>
            <w:r>
              <w:rPr>
                <w:rFonts w:hint="eastAsia"/>
              </w:rPr>
              <w:t>（从高中起）</w:t>
            </w:r>
          </w:p>
        </w:tc>
        <w:tc>
          <w:tcPr>
            <w:tcW w:w="1638" w:type="dxa"/>
            <w:gridSpan w:val="3"/>
            <w:vAlign w:val="center"/>
          </w:tcPr>
          <w:p>
            <w:pPr>
              <w:jc w:val="center"/>
            </w:pPr>
            <w:r>
              <w:rPr>
                <w:rFonts w:hint="eastAsia"/>
              </w:rPr>
              <w:t>起止时间</w:t>
            </w:r>
          </w:p>
        </w:tc>
        <w:tc>
          <w:tcPr>
            <w:tcW w:w="1050" w:type="dxa"/>
            <w:gridSpan w:val="5"/>
            <w:vAlign w:val="center"/>
          </w:tcPr>
          <w:p>
            <w:pPr>
              <w:jc w:val="center"/>
            </w:pPr>
            <w:r>
              <w:rPr>
                <w:rFonts w:hint="eastAsia"/>
              </w:rPr>
              <w:t>学历</w:t>
            </w:r>
          </w:p>
        </w:tc>
        <w:tc>
          <w:tcPr>
            <w:tcW w:w="2977" w:type="dxa"/>
            <w:gridSpan w:val="6"/>
            <w:vAlign w:val="center"/>
          </w:tcPr>
          <w:p>
            <w:pPr>
              <w:jc w:val="center"/>
            </w:pPr>
            <w:r>
              <w:rPr>
                <w:rFonts w:hint="eastAsia"/>
              </w:rPr>
              <w:t>学校</w:t>
            </w:r>
          </w:p>
        </w:tc>
        <w:tc>
          <w:tcPr>
            <w:tcW w:w="1340" w:type="dxa"/>
            <w:tcBorders>
              <w:right w:val="single" w:color="auto" w:sz="4" w:space="0"/>
            </w:tcBorders>
            <w:vAlign w:val="center"/>
          </w:tcPr>
          <w:p>
            <w:pPr>
              <w:jc w:val="center"/>
            </w:pPr>
            <w:r>
              <w:rPr>
                <w:rFonts w:hint="eastAsia"/>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1050" w:type="dxa"/>
            <w:gridSpan w:val="5"/>
            <w:vAlign w:val="center"/>
          </w:tcPr>
          <w:p>
            <w:pPr>
              <w:jc w:val="center"/>
            </w:pPr>
          </w:p>
        </w:tc>
        <w:tc>
          <w:tcPr>
            <w:tcW w:w="2977" w:type="dxa"/>
            <w:gridSpan w:val="6"/>
            <w:vAlign w:val="center"/>
          </w:tcPr>
          <w:p>
            <w:pPr>
              <w:jc w:val="center"/>
            </w:pPr>
          </w:p>
        </w:tc>
        <w:tc>
          <w:tcPr>
            <w:tcW w:w="134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1050" w:type="dxa"/>
            <w:gridSpan w:val="5"/>
            <w:vAlign w:val="center"/>
          </w:tcPr>
          <w:p>
            <w:pPr>
              <w:jc w:val="center"/>
            </w:pPr>
          </w:p>
        </w:tc>
        <w:tc>
          <w:tcPr>
            <w:tcW w:w="2977" w:type="dxa"/>
            <w:gridSpan w:val="6"/>
            <w:vAlign w:val="center"/>
          </w:tcPr>
          <w:p>
            <w:pPr>
              <w:jc w:val="center"/>
            </w:pPr>
          </w:p>
        </w:tc>
        <w:tc>
          <w:tcPr>
            <w:tcW w:w="134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1050" w:type="dxa"/>
            <w:gridSpan w:val="5"/>
            <w:vAlign w:val="center"/>
          </w:tcPr>
          <w:p>
            <w:pPr>
              <w:jc w:val="center"/>
            </w:pPr>
          </w:p>
        </w:tc>
        <w:tc>
          <w:tcPr>
            <w:tcW w:w="2977" w:type="dxa"/>
            <w:gridSpan w:val="6"/>
            <w:vAlign w:val="center"/>
          </w:tcPr>
          <w:p>
            <w:pPr>
              <w:jc w:val="center"/>
            </w:pPr>
          </w:p>
        </w:tc>
        <w:tc>
          <w:tcPr>
            <w:tcW w:w="134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1050" w:type="dxa"/>
            <w:gridSpan w:val="5"/>
            <w:vAlign w:val="center"/>
          </w:tcPr>
          <w:p>
            <w:pPr>
              <w:jc w:val="center"/>
            </w:pPr>
          </w:p>
        </w:tc>
        <w:tc>
          <w:tcPr>
            <w:tcW w:w="2977" w:type="dxa"/>
            <w:gridSpan w:val="6"/>
            <w:vAlign w:val="center"/>
          </w:tcPr>
          <w:p>
            <w:pPr>
              <w:jc w:val="center"/>
            </w:pPr>
          </w:p>
        </w:tc>
        <w:tc>
          <w:tcPr>
            <w:tcW w:w="1340"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3" w:hRule="atLeast"/>
        </w:trPr>
        <w:tc>
          <w:tcPr>
            <w:tcW w:w="1520" w:type="dxa"/>
            <w:vAlign w:val="center"/>
          </w:tcPr>
          <w:p>
            <w:pPr>
              <w:jc w:val="center"/>
            </w:pPr>
            <w:r>
              <w:rPr>
                <w:rFonts w:hint="eastAsia"/>
              </w:rPr>
              <w:t>奖惩情况</w:t>
            </w:r>
          </w:p>
        </w:tc>
        <w:tc>
          <w:tcPr>
            <w:tcW w:w="7005" w:type="dxa"/>
            <w:gridSpan w:val="1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7" w:hRule="atLeast"/>
        </w:trPr>
        <w:tc>
          <w:tcPr>
            <w:tcW w:w="1520" w:type="dxa"/>
            <w:vAlign w:val="center"/>
          </w:tcPr>
          <w:p>
            <w:pPr>
              <w:jc w:val="center"/>
            </w:pPr>
            <w:r>
              <w:rPr>
                <w:rFonts w:hint="eastAsia"/>
              </w:rPr>
              <w:t>自我评价</w:t>
            </w:r>
          </w:p>
        </w:tc>
        <w:tc>
          <w:tcPr>
            <w:tcW w:w="7005" w:type="dxa"/>
            <w:gridSpan w:val="15"/>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5" w:hRule="atLeast"/>
        </w:trPr>
        <w:tc>
          <w:tcPr>
            <w:tcW w:w="1520" w:type="dxa"/>
            <w:vMerge w:val="restart"/>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1638" w:type="dxa"/>
            <w:gridSpan w:val="3"/>
            <w:vAlign w:val="center"/>
          </w:tcPr>
          <w:p>
            <w:pPr>
              <w:jc w:val="center"/>
            </w:pPr>
            <w:r>
              <w:rPr>
                <w:rFonts w:hint="eastAsia"/>
              </w:rPr>
              <w:t>起止时间</w:t>
            </w:r>
          </w:p>
        </w:tc>
        <w:tc>
          <w:tcPr>
            <w:tcW w:w="2184" w:type="dxa"/>
            <w:gridSpan w:val="8"/>
            <w:vAlign w:val="center"/>
          </w:tcPr>
          <w:p>
            <w:pPr>
              <w:jc w:val="center"/>
            </w:pPr>
            <w:r>
              <w:rPr>
                <w:rFonts w:hint="eastAsia"/>
              </w:rPr>
              <w:t>单位名称</w:t>
            </w:r>
          </w:p>
        </w:tc>
        <w:tc>
          <w:tcPr>
            <w:tcW w:w="1134" w:type="dxa"/>
            <w:vAlign w:val="center"/>
          </w:tcPr>
          <w:p>
            <w:pPr>
              <w:jc w:val="center"/>
            </w:pPr>
            <w:r>
              <w:rPr>
                <w:rFonts w:hint="eastAsia"/>
              </w:rPr>
              <w:t>职位</w:t>
            </w:r>
          </w:p>
        </w:tc>
        <w:tc>
          <w:tcPr>
            <w:tcW w:w="2049" w:type="dxa"/>
            <w:gridSpan w:val="3"/>
            <w:vAlign w:val="center"/>
          </w:tcPr>
          <w:p>
            <w:pPr>
              <w:jc w:val="center"/>
            </w:pPr>
            <w:r>
              <w:rPr>
                <w:rFonts w:hint="eastAsia"/>
              </w:rPr>
              <w:t>证明人及联系电话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2184" w:type="dxa"/>
            <w:gridSpan w:val="8"/>
            <w:vAlign w:val="center"/>
          </w:tcPr>
          <w:p>
            <w:pPr>
              <w:jc w:val="center"/>
            </w:pPr>
          </w:p>
        </w:tc>
        <w:tc>
          <w:tcPr>
            <w:tcW w:w="1134" w:type="dxa"/>
            <w:vAlign w:val="center"/>
          </w:tcPr>
          <w:p>
            <w:pPr>
              <w:jc w:val="center"/>
            </w:pPr>
          </w:p>
        </w:tc>
        <w:tc>
          <w:tcPr>
            <w:tcW w:w="2049"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2184" w:type="dxa"/>
            <w:gridSpan w:val="8"/>
            <w:vAlign w:val="center"/>
          </w:tcPr>
          <w:p>
            <w:pPr>
              <w:jc w:val="center"/>
            </w:pPr>
          </w:p>
        </w:tc>
        <w:tc>
          <w:tcPr>
            <w:tcW w:w="1134" w:type="dxa"/>
            <w:vAlign w:val="center"/>
          </w:tcPr>
          <w:p>
            <w:pPr>
              <w:jc w:val="center"/>
            </w:pPr>
          </w:p>
        </w:tc>
        <w:tc>
          <w:tcPr>
            <w:tcW w:w="2049"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2184" w:type="dxa"/>
            <w:gridSpan w:val="8"/>
            <w:vAlign w:val="center"/>
          </w:tcPr>
          <w:p>
            <w:pPr>
              <w:jc w:val="center"/>
            </w:pPr>
          </w:p>
        </w:tc>
        <w:tc>
          <w:tcPr>
            <w:tcW w:w="1134" w:type="dxa"/>
            <w:vAlign w:val="center"/>
          </w:tcPr>
          <w:p>
            <w:pPr>
              <w:jc w:val="center"/>
            </w:pPr>
          </w:p>
        </w:tc>
        <w:tc>
          <w:tcPr>
            <w:tcW w:w="2049"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2184" w:type="dxa"/>
            <w:gridSpan w:val="8"/>
            <w:vAlign w:val="center"/>
          </w:tcPr>
          <w:p>
            <w:pPr>
              <w:jc w:val="center"/>
            </w:pPr>
          </w:p>
        </w:tc>
        <w:tc>
          <w:tcPr>
            <w:tcW w:w="1134" w:type="dxa"/>
            <w:vAlign w:val="center"/>
          </w:tcPr>
          <w:p>
            <w:pPr>
              <w:jc w:val="center"/>
            </w:pPr>
          </w:p>
        </w:tc>
        <w:tc>
          <w:tcPr>
            <w:tcW w:w="2049"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1638" w:type="dxa"/>
            <w:gridSpan w:val="3"/>
            <w:vAlign w:val="center"/>
          </w:tcPr>
          <w:p>
            <w:pPr>
              <w:jc w:val="center"/>
            </w:pPr>
          </w:p>
        </w:tc>
        <w:tc>
          <w:tcPr>
            <w:tcW w:w="2184" w:type="dxa"/>
            <w:gridSpan w:val="8"/>
            <w:vAlign w:val="center"/>
          </w:tcPr>
          <w:p>
            <w:pPr>
              <w:jc w:val="center"/>
            </w:pPr>
          </w:p>
        </w:tc>
        <w:tc>
          <w:tcPr>
            <w:tcW w:w="1134" w:type="dxa"/>
            <w:vAlign w:val="center"/>
          </w:tcPr>
          <w:p>
            <w:pPr>
              <w:jc w:val="center"/>
            </w:pPr>
          </w:p>
        </w:tc>
        <w:tc>
          <w:tcPr>
            <w:tcW w:w="2049" w:type="dxa"/>
            <w:gridSpan w:val="3"/>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4" w:hRule="atLeast"/>
        </w:trPr>
        <w:tc>
          <w:tcPr>
            <w:tcW w:w="1520" w:type="dxa"/>
            <w:vMerge w:val="restart"/>
            <w:vAlign w:val="center"/>
          </w:tcPr>
          <w:p>
            <w:pPr>
              <w:jc w:val="center"/>
            </w:pPr>
            <w:r>
              <w:rPr>
                <w:rFonts w:hint="eastAsia"/>
              </w:rPr>
              <w:t>家庭</w:t>
            </w:r>
          </w:p>
          <w:p>
            <w:pPr>
              <w:jc w:val="center"/>
            </w:pPr>
            <w:r>
              <w:rPr>
                <w:rFonts w:hint="eastAsia"/>
              </w:rPr>
              <w:t>主要</w:t>
            </w:r>
          </w:p>
          <w:p>
            <w:pPr>
              <w:jc w:val="center"/>
            </w:pPr>
            <w:r>
              <w:rPr>
                <w:rFonts w:hint="eastAsia"/>
              </w:rPr>
              <w:t>成员</w:t>
            </w:r>
          </w:p>
        </w:tc>
        <w:tc>
          <w:tcPr>
            <w:tcW w:w="991" w:type="dxa"/>
            <w:vAlign w:val="center"/>
          </w:tcPr>
          <w:p>
            <w:pPr>
              <w:jc w:val="center"/>
            </w:pPr>
            <w:r>
              <w:rPr>
                <w:rFonts w:hint="eastAsia"/>
              </w:rPr>
              <w:t>称谓</w:t>
            </w:r>
          </w:p>
        </w:tc>
        <w:tc>
          <w:tcPr>
            <w:tcW w:w="1278" w:type="dxa"/>
            <w:gridSpan w:val="5"/>
            <w:vAlign w:val="center"/>
          </w:tcPr>
          <w:p>
            <w:pPr>
              <w:jc w:val="center"/>
            </w:pPr>
            <w:r>
              <w:rPr>
                <w:rFonts w:hint="eastAsia"/>
              </w:rPr>
              <w:t>姓名</w:t>
            </w:r>
          </w:p>
        </w:tc>
        <w:tc>
          <w:tcPr>
            <w:tcW w:w="4736" w:type="dxa"/>
            <w:gridSpan w:val="9"/>
            <w:vAlign w:val="center"/>
          </w:tcPr>
          <w:p>
            <w:pPr>
              <w:jc w:val="center"/>
            </w:pPr>
            <w:r>
              <w:rPr>
                <w:rFonts w:hint="eastAsia"/>
              </w:rPr>
              <w:t>工作单位、职务及联系电话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991" w:type="dxa"/>
            <w:vAlign w:val="center"/>
          </w:tcPr>
          <w:p>
            <w:pPr>
              <w:jc w:val="center"/>
            </w:pPr>
          </w:p>
        </w:tc>
        <w:tc>
          <w:tcPr>
            <w:tcW w:w="1278" w:type="dxa"/>
            <w:gridSpan w:val="5"/>
            <w:vAlign w:val="center"/>
          </w:tcPr>
          <w:p>
            <w:pPr>
              <w:jc w:val="center"/>
            </w:pPr>
          </w:p>
        </w:tc>
        <w:tc>
          <w:tcPr>
            <w:tcW w:w="4736" w:type="dxa"/>
            <w:gridSpan w:val="9"/>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991" w:type="dxa"/>
            <w:vAlign w:val="center"/>
          </w:tcPr>
          <w:p>
            <w:pPr>
              <w:jc w:val="center"/>
            </w:pPr>
          </w:p>
        </w:tc>
        <w:tc>
          <w:tcPr>
            <w:tcW w:w="1278" w:type="dxa"/>
            <w:gridSpan w:val="5"/>
            <w:vAlign w:val="center"/>
          </w:tcPr>
          <w:p>
            <w:pPr>
              <w:jc w:val="center"/>
            </w:pPr>
          </w:p>
        </w:tc>
        <w:tc>
          <w:tcPr>
            <w:tcW w:w="4736" w:type="dxa"/>
            <w:gridSpan w:val="9"/>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991" w:type="dxa"/>
            <w:vAlign w:val="center"/>
          </w:tcPr>
          <w:p>
            <w:pPr>
              <w:jc w:val="center"/>
            </w:pPr>
          </w:p>
        </w:tc>
        <w:tc>
          <w:tcPr>
            <w:tcW w:w="1278" w:type="dxa"/>
            <w:gridSpan w:val="5"/>
            <w:vAlign w:val="center"/>
          </w:tcPr>
          <w:p>
            <w:pPr>
              <w:jc w:val="center"/>
            </w:pPr>
          </w:p>
        </w:tc>
        <w:tc>
          <w:tcPr>
            <w:tcW w:w="4736" w:type="dxa"/>
            <w:gridSpan w:val="9"/>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trPr>
        <w:tc>
          <w:tcPr>
            <w:tcW w:w="1520" w:type="dxa"/>
            <w:vMerge w:val="continue"/>
            <w:vAlign w:val="center"/>
          </w:tcPr>
          <w:p>
            <w:pPr>
              <w:jc w:val="center"/>
            </w:pPr>
          </w:p>
        </w:tc>
        <w:tc>
          <w:tcPr>
            <w:tcW w:w="991" w:type="dxa"/>
            <w:vAlign w:val="center"/>
          </w:tcPr>
          <w:p>
            <w:pPr>
              <w:jc w:val="center"/>
            </w:pPr>
          </w:p>
        </w:tc>
        <w:tc>
          <w:tcPr>
            <w:tcW w:w="1278" w:type="dxa"/>
            <w:gridSpan w:val="5"/>
            <w:vAlign w:val="center"/>
          </w:tcPr>
          <w:p>
            <w:pPr>
              <w:jc w:val="center"/>
            </w:pPr>
          </w:p>
        </w:tc>
        <w:tc>
          <w:tcPr>
            <w:tcW w:w="4736" w:type="dxa"/>
            <w:gridSpan w:val="9"/>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4" w:hRule="atLeast"/>
        </w:trPr>
        <w:tc>
          <w:tcPr>
            <w:tcW w:w="1520" w:type="dxa"/>
            <w:vAlign w:val="center"/>
          </w:tcPr>
          <w:p>
            <w:pPr>
              <w:jc w:val="center"/>
            </w:pPr>
            <w:r>
              <w:rPr>
                <w:rFonts w:hint="eastAsia"/>
              </w:rPr>
              <w:t>其他需要说明的情况</w:t>
            </w:r>
          </w:p>
        </w:tc>
        <w:tc>
          <w:tcPr>
            <w:tcW w:w="7005" w:type="dxa"/>
            <w:gridSpan w:val="15"/>
            <w:vAlign w:val="center"/>
          </w:tcPr>
          <w:p>
            <w:pPr>
              <w:jc w:val="center"/>
            </w:pPr>
          </w:p>
        </w:tc>
      </w:tr>
    </w:tbl>
    <w:p>
      <w:pPr>
        <w:jc w:val="center"/>
        <w:rPr>
          <w:b/>
          <w:sz w:val="36"/>
          <w:szCs w:val="36"/>
        </w:rPr>
      </w:pPr>
      <w:r>
        <w:rPr>
          <w:rFonts w:hint="eastAsia"/>
          <w:b/>
          <w:sz w:val="36"/>
          <w:szCs w:val="36"/>
        </w:rPr>
        <w:t>启东农商银行引进人才应聘登记表</w:t>
      </w:r>
    </w:p>
    <w:p>
      <w:pPr>
        <w:jc w:val="left"/>
        <w:rPr>
          <w:sz w:val="18"/>
          <w:szCs w:val="18"/>
        </w:rPr>
      </w:pPr>
      <w:r>
        <w:rPr>
          <w:rFonts w:hint="eastAsia"/>
          <w:sz w:val="18"/>
          <w:szCs w:val="18"/>
        </w:rPr>
        <w:t>本人承诺此表格填写内容真实有效，如有虚假隐瞒由本人承担相应责任后果。</w:t>
      </w:r>
    </w:p>
    <w:p>
      <w:pPr>
        <w:jc w:val="left"/>
        <w:rPr>
          <w:sz w:val="18"/>
          <w:szCs w:val="18"/>
        </w:rPr>
      </w:pPr>
    </w:p>
    <w:p>
      <w:pPr>
        <w:wordWrap w:val="0"/>
        <w:jc w:val="right"/>
        <w:rPr>
          <w:sz w:val="18"/>
          <w:szCs w:val="18"/>
          <w:u w:val="single"/>
        </w:rPr>
      </w:pPr>
      <w:r>
        <w:rPr>
          <w:rFonts w:hint="eastAsia"/>
          <w:sz w:val="18"/>
          <w:szCs w:val="18"/>
        </w:rPr>
        <w:t>本人签名：</w:t>
      </w:r>
      <w:r>
        <w:rPr>
          <w:rFonts w:hint="eastAsia"/>
          <w:sz w:val="18"/>
          <w:szCs w:val="18"/>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782"/>
    <w:multiLevelType w:val="multilevel"/>
    <w:tmpl w:val="00E20782"/>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DD5E7B"/>
    <w:multiLevelType w:val="multilevel"/>
    <w:tmpl w:val="0EDD5E7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73673E"/>
    <w:multiLevelType w:val="multilevel"/>
    <w:tmpl w:val="5973673E"/>
    <w:lvl w:ilvl="0" w:tentative="0">
      <w:start w:val="2"/>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C665F"/>
    <w:rsid w:val="00067890"/>
    <w:rsid w:val="0008012D"/>
    <w:rsid w:val="00090D6A"/>
    <w:rsid w:val="000C6AAA"/>
    <w:rsid w:val="000F1668"/>
    <w:rsid w:val="0014052F"/>
    <w:rsid w:val="00165486"/>
    <w:rsid w:val="001A404B"/>
    <w:rsid w:val="00201DCB"/>
    <w:rsid w:val="002030B5"/>
    <w:rsid w:val="00224296"/>
    <w:rsid w:val="00255889"/>
    <w:rsid w:val="00281415"/>
    <w:rsid w:val="0029286E"/>
    <w:rsid w:val="002E4C54"/>
    <w:rsid w:val="003372C6"/>
    <w:rsid w:val="003D1A3F"/>
    <w:rsid w:val="003D751D"/>
    <w:rsid w:val="003F5147"/>
    <w:rsid w:val="00423C33"/>
    <w:rsid w:val="00424595"/>
    <w:rsid w:val="004A3D5E"/>
    <w:rsid w:val="004B73C9"/>
    <w:rsid w:val="00546B4A"/>
    <w:rsid w:val="00562D12"/>
    <w:rsid w:val="00566084"/>
    <w:rsid w:val="005928C1"/>
    <w:rsid w:val="005E1974"/>
    <w:rsid w:val="005E63EC"/>
    <w:rsid w:val="00620797"/>
    <w:rsid w:val="00635BA6"/>
    <w:rsid w:val="00666D94"/>
    <w:rsid w:val="00677ECA"/>
    <w:rsid w:val="006B780D"/>
    <w:rsid w:val="006C55F3"/>
    <w:rsid w:val="006F60D5"/>
    <w:rsid w:val="00744B6C"/>
    <w:rsid w:val="007C2452"/>
    <w:rsid w:val="00813F0D"/>
    <w:rsid w:val="00841351"/>
    <w:rsid w:val="008A1E47"/>
    <w:rsid w:val="008E4750"/>
    <w:rsid w:val="0091571C"/>
    <w:rsid w:val="0097300C"/>
    <w:rsid w:val="00AA3158"/>
    <w:rsid w:val="00AA4BF0"/>
    <w:rsid w:val="00B37C3D"/>
    <w:rsid w:val="00B55035"/>
    <w:rsid w:val="00BB0F61"/>
    <w:rsid w:val="00BD119E"/>
    <w:rsid w:val="00BF52D9"/>
    <w:rsid w:val="00C04995"/>
    <w:rsid w:val="00C04E03"/>
    <w:rsid w:val="00C12966"/>
    <w:rsid w:val="00C17476"/>
    <w:rsid w:val="00C8461B"/>
    <w:rsid w:val="00CC672A"/>
    <w:rsid w:val="00CF4A59"/>
    <w:rsid w:val="00D0271D"/>
    <w:rsid w:val="00D376E0"/>
    <w:rsid w:val="00D65162"/>
    <w:rsid w:val="00D7040A"/>
    <w:rsid w:val="00D73B7E"/>
    <w:rsid w:val="00DE4937"/>
    <w:rsid w:val="00DF7EC5"/>
    <w:rsid w:val="00E03A86"/>
    <w:rsid w:val="00E04D07"/>
    <w:rsid w:val="00E10C61"/>
    <w:rsid w:val="00E12ABE"/>
    <w:rsid w:val="00E171AF"/>
    <w:rsid w:val="00E42835"/>
    <w:rsid w:val="00E94351"/>
    <w:rsid w:val="00EB284E"/>
    <w:rsid w:val="00EF4EEC"/>
    <w:rsid w:val="00F024BF"/>
    <w:rsid w:val="00F029D9"/>
    <w:rsid w:val="00FA11C1"/>
    <w:rsid w:val="00FC45D0"/>
    <w:rsid w:val="00FC665F"/>
    <w:rsid w:val="00FD1091"/>
    <w:rsid w:val="00FF3385"/>
    <w:rsid w:val="0A1D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uiPriority w:val="0"/>
    <w:pPr>
      <w:ind w:firstLine="560" w:firstLineChars="200"/>
    </w:pPr>
    <w:rPr>
      <w:rFonts w:ascii="Times New Roman" w:hAnsi="Times New Roman" w:eastAsia="宋体" w:cs="Times New Roman"/>
      <w:sz w:val="28"/>
      <w:szCs w:val="24"/>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uiPriority w:val="99"/>
    <w:rPr>
      <w:color w:val="0000FF" w:themeColor="hyperlink"/>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HTML 预设格式 Char"/>
    <w:basedOn w:val="7"/>
    <w:link w:val="5"/>
    <w:qFormat/>
    <w:uiPriority w:val="0"/>
    <w:rPr>
      <w:rFonts w:ascii="宋体" w:hAnsi="宋体" w:eastAsia="宋体" w:cs="宋体"/>
      <w:kern w:val="0"/>
      <w:sz w:val="24"/>
      <w:szCs w:val="24"/>
    </w:rPr>
  </w:style>
  <w:style w:type="paragraph" w:styleId="13">
    <w:name w:val="List Paragraph"/>
    <w:basedOn w:val="1"/>
    <w:qFormat/>
    <w:uiPriority w:val="34"/>
    <w:pPr>
      <w:ind w:firstLine="420" w:firstLineChars="200"/>
    </w:pPr>
  </w:style>
  <w:style w:type="character" w:customStyle="1" w:styleId="14">
    <w:name w:val="正文文本缩进 Char"/>
    <w:basedOn w:val="7"/>
    <w:link w:val="2"/>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650</Words>
  <Characters>3710</Characters>
  <Lines>30</Lines>
  <Paragraphs>8</Paragraphs>
  <TotalTime>1000</TotalTime>
  <ScaleCrop>false</ScaleCrop>
  <LinksUpToDate>false</LinksUpToDate>
  <CharactersWithSpaces>4352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2017-08-28T09:30:00Z</dcterms:created>
  <dc:creator>孔锐</dc:creator>
  <cp:lastModifiedBy>指尖的问候</cp:lastModifiedBy>
  <cp:lastPrinted>2018-09-21T08:51:00Z</cp:lastPrinted>
  <dcterms:modified xsi:type="dcterms:W3CDTF">2018-09-27T10:01:15Z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