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方正黑体_GBK" w:hAnsi="仿宋_GB2312" w:eastAsia="方正黑体_GBK" w:cs="仿宋_GB2312"/>
          <w:color w:val="auto"/>
        </w:rPr>
      </w:pPr>
      <w:bookmarkStart w:id="0" w:name="_GoBack"/>
      <w:r>
        <w:rPr>
          <w:rFonts w:hint="eastAsia" w:ascii="方正黑体_GBK" w:hAnsi="仿宋_GB2312" w:eastAsia="方正黑体_GBK" w:cs="仿宋_GB2312"/>
          <w:color w:val="auto"/>
        </w:rPr>
        <w:t>附件1</w:t>
      </w:r>
    </w:p>
    <w:p>
      <w:pPr>
        <w:jc w:val="center"/>
        <w:rPr>
          <w:rFonts w:hint="eastAsia" w:ascii="方正黑体_GBK" w:hAnsi="仿宋_GB2312" w:eastAsia="方正黑体_GBK" w:cs="仿宋_GB2312"/>
          <w:color w:val="auto"/>
        </w:rPr>
      </w:pPr>
      <w:r>
        <w:rPr>
          <w:rFonts w:hint="eastAsia" w:eastAsia="方正仿宋_GBK"/>
          <w:color w:val="auto"/>
          <w:lang w:eastAsia="zh-CN"/>
        </w:rPr>
        <w:t>云南商务信息工程学校</w:t>
      </w:r>
      <w:r>
        <w:rPr>
          <w:rFonts w:hint="eastAsia" w:eastAsia="方正仿宋_GBK"/>
          <w:color w:val="auto"/>
        </w:rPr>
        <w:t>招聘岗位及学历</w:t>
      </w:r>
      <w:r>
        <w:rPr>
          <w:rFonts w:hint="eastAsia" w:eastAsia="方正仿宋_GBK"/>
          <w:color w:val="auto"/>
          <w:lang w:eastAsia="zh-CN"/>
        </w:rPr>
        <w:t>、</w:t>
      </w:r>
      <w:r>
        <w:rPr>
          <w:rFonts w:hint="eastAsia" w:eastAsia="方正仿宋_GBK"/>
          <w:color w:val="auto"/>
        </w:rPr>
        <w:t>专业要求</w:t>
      </w:r>
    </w:p>
    <w:tbl>
      <w:tblPr>
        <w:tblStyle w:val="3"/>
        <w:tblW w:w="9675" w:type="dxa"/>
        <w:jc w:val="center"/>
        <w:tblInd w:w="-3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635"/>
        <w:gridCol w:w="945"/>
        <w:gridCol w:w="1264"/>
        <w:gridCol w:w="3231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  <w:t>招</w:t>
            </w: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  <w:lang w:bidi="ar"/>
              </w:rPr>
              <w:t>聘岗位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  <w:t>招</w:t>
            </w: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  <w:lang w:bidi="ar"/>
              </w:rPr>
              <w:t>聘人数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  <w:t>学历要求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  <w:lang w:bidi="ar"/>
              </w:rPr>
              <w:t>年龄要求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  <w:t>专业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napToGrid w:val="0"/>
              <w:spacing w:before="100" w:beforeAutospacing="1" w:after="100" w:afterAutospacing="1" w:line="0" w:lineRule="atLeast"/>
              <w:jc w:val="center"/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方正黑体_GBK" w:eastAsia="方正黑体_GBK" w:cs="仿宋_GB2312"/>
                <w:color w:val="auto"/>
                <w:kern w:val="0"/>
                <w:sz w:val="22"/>
                <w:szCs w:val="22"/>
              </w:rPr>
              <w:t>其他要求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会计、会计学、注册会计师、电算化会计、电算会计、会计电算化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同等条件下具有教师资格证及会计从业资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数学、数学教育、数学与信息科学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同等条件下具有教师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spacing w:line="0" w:lineRule="atLeast"/>
              <w:jc w:val="center"/>
              <w:rPr>
                <w:rFonts w:hint="eastAsia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体育服务与管理、体育管理、体育教育、休闲体育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具有教师资格证者优先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spacing w:line="0" w:lineRule="atLeast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轿车修理与检测、汽车及机电设备应用与维护、汽车驾驶与维修、汽车驾驶与修理、汽车检测技术与维修、汽车检测与维修、汽车检测与维修技术、汽车维修、汽车维修工程教育、汽车维修与检测、汽车维修与营销、汽车修理、汽车修理与驾驶、汽车应用与维修、汽车运用与维护、汽车运用与维修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具有教师资格证及高级工以上相关职业资格证者优先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spacing w:line="0" w:lineRule="atLeast"/>
              <w:jc w:val="center"/>
              <w:rPr>
                <w:rFonts w:hint="eastAsia" w:eastAsia="仿宋_GB2312" w:cs="仿宋_GB2312"/>
                <w:color w:val="auto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硕士及以上学历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计算机软件工程、计算机软件、计算机软件技术、计算机软件开发、计算机软件与理论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具有教师资格证者优先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（实训教师）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分析化学、化学分析与检验、绿色食品生产与检验、食品检测与质量管理、食品检验、食品营养及检测、食品营养与检测、食品营养与检验教育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具有教师资格证及高级工以上相关职业资格证者优先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专业技术岗位</w:t>
            </w:r>
          </w:p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（实训教师）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val="en-US" w:eastAsia="zh-CN" w:bidi="ar"/>
              </w:rPr>
              <w:t>2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烹饪工艺、烹饪工艺与营养、烹饪与酒店管理、烹饪与营养教育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  <w:t>同等条件下</w:t>
            </w: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具有教师资格证及高级工以上相关职业资格证者优先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管理岗位（学生管理）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2人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公共事业管理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管理岗位（财务会计）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会计学、财务会计、会计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具有会计从业资格证。同等条件下具有经济类专业技术职称者优先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管理岗位（办公室）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本科及以上学历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spacing w:line="0" w:lineRule="atLeast"/>
              <w:jc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数字媒体艺术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7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工勤技能岗位</w:t>
            </w:r>
          </w:p>
        </w:tc>
        <w:tc>
          <w:tcPr>
            <w:tcW w:w="63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1人</w:t>
            </w:r>
          </w:p>
        </w:tc>
        <w:tc>
          <w:tcPr>
            <w:tcW w:w="945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专科及以上学历</w:t>
            </w:r>
          </w:p>
        </w:tc>
        <w:tc>
          <w:tcPr>
            <w:tcW w:w="1264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35周岁以下（1981年7月以后出生）</w:t>
            </w:r>
          </w:p>
        </w:tc>
        <w:tc>
          <w:tcPr>
            <w:tcW w:w="3231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  <w:t>地球物理勘查技术、测量与工程施工、工程测量与监理</w:t>
            </w:r>
          </w:p>
        </w:tc>
        <w:tc>
          <w:tcPr>
            <w:tcW w:w="1983" w:type="dxa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eastAsia="仿宋_GB2312" w:cs="仿宋_GB2312"/>
                <w:color w:val="auto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after="289" w:afterLines="50" w:line="400" w:lineRule="exact"/>
        <w:rPr>
          <w:rFonts w:eastAsia="方正仿宋_GBK"/>
          <w:color w:val="auto"/>
        </w:rPr>
      </w:pPr>
    </w:p>
    <w:p>
      <w:pPr>
        <w:rPr>
          <w:color w:val="auto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΄֐ˎ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F7E54"/>
    <w:rsid w:val="4CC74556"/>
    <w:rsid w:val="616F7E5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2016-05-09T07:27:00Z</dcterms:created>
  <dc:creator>Administrator</dc:creator>
  <cp:lastModifiedBy>Administrator</cp:lastModifiedBy>
  <dcterms:modified xsi:type="dcterms:W3CDTF">2016-05-09T07:32:46Z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