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ascii="黑体" w:hAnsi="宋体" w:eastAsia="黑体" w:cs="黑体"/>
          <w:kern w:val="0"/>
          <w:sz w:val="40"/>
          <w:szCs w:val="40"/>
          <w:bdr w:val="none" w:color="auto" w:sz="0" w:space="0"/>
          <w:lang w:val="en-US" w:eastAsia="zh-CN" w:bidi="ar"/>
        </w:rPr>
        <w:t>2017</w:t>
      </w:r>
      <w:r>
        <w:rPr>
          <w:rFonts w:hint="eastAsia" w:ascii="黑体" w:hAnsi="宋体" w:eastAsia="黑体" w:cs="黑体"/>
          <w:kern w:val="0"/>
          <w:sz w:val="40"/>
          <w:szCs w:val="40"/>
          <w:bdr w:val="none" w:color="auto" w:sz="0" w:space="0"/>
          <w:lang w:val="en-US" w:eastAsia="zh-CN" w:bidi="ar"/>
        </w:rPr>
        <w:t>年连江县人民检察院和法院公开招聘聘用制书记员岗位信息表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招聘单位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岗位代码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岗位名称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招聘人数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学历层次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学历  类别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学位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性别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年龄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民族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政治面貌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工作经历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招考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其他要求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备注</w:t>
      </w: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eastAsia="仿宋_GB2312" w:cs="仿宋_GB2312" w:hAnsiTheme="minorHAnsi"/>
          <w:b/>
          <w:kern w:val="0"/>
          <w:sz w:val="20"/>
          <w:szCs w:val="20"/>
          <w:bdr w:val="none" w:color="auto" w:sz="0" w:space="0"/>
          <w:lang w:val="en-US" w:eastAsia="zh-CN" w:bidi="ar"/>
        </w:rPr>
        <w:t>（待遇薪酬等）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连江县人民检察院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0101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聘用制书记员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大学本科及以上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全日制普通高等院校毕业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学士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35周岁以下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福建省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法学类、马克思主义理论类、社会学类、政治学类、公安学类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熟悉电脑操作，打字速度应达60字/分钟以上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月工资参照同级事业编制人员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连江县人民检察院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0102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聘用制书记员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大学本科及以上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全日制普通高等院校毕业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学士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35周岁以下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福建省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熟悉电脑操作，打字速度应达60字/分钟以上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月工资参照同级事业编制人员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连江县法院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0201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聘用制书记员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大学本科及以上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全日制普通高等院校毕业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学士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35周岁以下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福建省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法学类、马克思主义理论类、社会学类、政治学类、公安学类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熟悉电脑操作，打字速度应达60字/分钟以上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月工资参照同级事业编制人员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连江县法院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0202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聘用制书记员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大学本科及以上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全日制普通高等院校毕业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学士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35周岁以下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福建省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熟悉电脑操作，打字速度应达60字/分钟以上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rFonts w:hint="default" w:ascii="仿宋_GB2312" w:eastAsia="仿宋_GB2312" w:cs="仿宋_GB2312" w:hAnsiTheme="minorHAnsi"/>
          <w:kern w:val="0"/>
          <w:sz w:val="15"/>
          <w:szCs w:val="15"/>
          <w:bdr w:val="none" w:color="auto" w:sz="0" w:space="0"/>
          <w:lang w:val="en-US" w:eastAsia="zh-CN" w:bidi="ar"/>
        </w:rPr>
        <w:t>月工资参照同级事业编制人员</w:t>
      </w: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26"/>
        <w:gridCol w:w="374"/>
        <w:gridCol w:w="232"/>
        <w:gridCol w:w="349"/>
        <w:gridCol w:w="724"/>
        <w:gridCol w:w="285"/>
        <w:gridCol w:w="232"/>
        <w:gridCol w:w="327"/>
        <w:gridCol w:w="294"/>
        <w:gridCol w:w="335"/>
        <w:gridCol w:w="375"/>
        <w:gridCol w:w="511"/>
        <w:gridCol w:w="481"/>
        <w:gridCol w:w="1182"/>
        <w:gridCol w:w="15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36" w:type="dxa"/>
            <w:gridSpan w:val="16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黑体" w:hAnsi="宋体" w:eastAsia="黑体" w:cs="黑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年连江县人民检察院和法院公开招聘聘用制书记员岗位信息表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16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6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4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1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3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  类别</w:t>
            </w:r>
          </w:p>
        </w:tc>
        <w:tc>
          <w:tcPr>
            <w:tcW w:w="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（待遇薪酬等）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连江县人民检察院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聘用制书记员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全日制普通高等院校毕业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法学类、马克思主义理论类、社会学类、政治学类、公安学类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熟悉电脑操作，打字速度应达60字/分钟以上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月工资参照同级事业编制人员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连江县人民检察院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聘用制书记员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全日制普通高等院校毕业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熟悉电脑操作，打字速度应达60字/分钟以上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月工资参照同级事业编制人员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连江县法院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聘用制书记员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全日制普通高等院校毕业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法学类、马克思主义理论类、社会学类、政治学类、公安学类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熟悉电脑操作，打字速度应达60字/分钟以上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月工资参照同级事业编制人员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连江县法院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聘用制书记员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全日制普通高等院校毕业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熟悉电脑操作，打字速度应达60字/分钟以上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月工资参照同级事业编制人员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6636A"/>
    <w:rsid w:val="06E663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2017-04-12T10:50:00Z</dcterms:created>
  <dc:creator>sj</dc:creator>
  <cp:lastModifiedBy>sj</cp:lastModifiedBy>
  <dcterms:modified xsi:type="dcterms:W3CDTF">2017-04-12T10:50:51Z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