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附件</w:t>
      </w:r>
    </w:p>
    <w:p>
      <w:pPr>
        <w:autoSpaceDE w:val="0"/>
        <w:autoSpaceDN w:val="0"/>
        <w:adjustRightInd w:val="0"/>
        <w:jc w:val="center"/>
        <w:rPr>
          <w:rFonts w:hint="default" w:ascii="方正小标宋简体" w:hAnsi="方正小标宋简体" w:eastAsia="方正小标宋简体" w:cs="方正小标宋简体"/>
          <w:color w:val="auto"/>
          <w:sz w:val="44"/>
          <w:szCs w:val="44"/>
          <w:highlight w:val="none"/>
          <w:lang w:val="en-US" w:eastAsia="zh-CN"/>
        </w:rPr>
      </w:pPr>
      <w:bookmarkStart w:id="0" w:name="_GoBack"/>
      <w:bookmarkEnd w:id="0"/>
      <w:r>
        <w:rPr>
          <w:rFonts w:hint="default" w:ascii="方正小标宋简体" w:hAnsi="方正小标宋简体" w:eastAsia="方正小标宋简体" w:cs="方正小标宋简体"/>
          <w:color w:val="auto"/>
          <w:sz w:val="44"/>
          <w:szCs w:val="44"/>
          <w:highlight w:val="none"/>
          <w:lang w:val="en-US" w:eastAsia="zh-CN"/>
        </w:rPr>
        <w:t>福建省晋江文旅集团有限公司</w:t>
      </w:r>
      <w:r>
        <w:rPr>
          <w:rFonts w:hint="eastAsia" w:ascii="方正小标宋简体" w:hAnsi="方正小标宋简体" w:eastAsia="方正小标宋简体" w:cs="方正小标宋简体"/>
          <w:color w:val="auto"/>
          <w:sz w:val="44"/>
          <w:szCs w:val="44"/>
          <w:highlight w:val="none"/>
          <w:lang w:val="en-US" w:eastAsia="zh-CN"/>
        </w:rPr>
        <w:t>及</w:t>
      </w:r>
      <w:r>
        <w:rPr>
          <w:rFonts w:hint="default" w:ascii="方正小标宋简体" w:hAnsi="方正小标宋简体" w:eastAsia="方正小标宋简体" w:cs="方正小标宋简体"/>
          <w:color w:val="auto"/>
          <w:sz w:val="44"/>
          <w:szCs w:val="44"/>
          <w:highlight w:val="none"/>
          <w:lang w:val="en-US" w:eastAsia="zh-CN"/>
        </w:rPr>
        <w:t>权属子公司公开招聘工作人员职位表</w:t>
      </w:r>
    </w:p>
    <w:tbl>
      <w:tblPr>
        <w:tblStyle w:val="4"/>
        <w:tblpPr w:leftFromText="180" w:rightFromText="180" w:vertAnchor="text" w:horzAnchor="page" w:tblpX="1397" w:tblpY="193"/>
        <w:tblOverlap w:val="never"/>
        <w:tblW w:w="5003" w:type="pct"/>
        <w:tblInd w:w="0" w:type="dxa"/>
        <w:tblLayout w:type="autofit"/>
        <w:tblCellMar>
          <w:top w:w="0" w:type="dxa"/>
          <w:left w:w="108" w:type="dxa"/>
          <w:bottom w:w="0" w:type="dxa"/>
          <w:right w:w="108" w:type="dxa"/>
        </w:tblCellMar>
      </w:tblPr>
      <w:tblGrid>
        <w:gridCol w:w="742"/>
        <w:gridCol w:w="952"/>
        <w:gridCol w:w="1075"/>
        <w:gridCol w:w="786"/>
        <w:gridCol w:w="721"/>
        <w:gridCol w:w="701"/>
        <w:gridCol w:w="775"/>
        <w:gridCol w:w="863"/>
        <w:gridCol w:w="1575"/>
        <w:gridCol w:w="3209"/>
        <w:gridCol w:w="738"/>
        <w:gridCol w:w="985"/>
        <w:gridCol w:w="1061"/>
      </w:tblGrid>
      <w:tr>
        <w:tblPrEx>
          <w:tblCellMar>
            <w:top w:w="0" w:type="dxa"/>
            <w:left w:w="108" w:type="dxa"/>
            <w:bottom w:w="0" w:type="dxa"/>
            <w:right w:w="108" w:type="dxa"/>
          </w:tblCellMar>
        </w:tblPrEx>
        <w:trPr>
          <w:trHeight w:val="600"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tabs>
                <w:tab w:val="left" w:pos="13000"/>
              </w:tabs>
              <w:bidi w:val="0"/>
              <w:jc w:val="left"/>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岗位代码</w:t>
            </w:r>
            <w:r>
              <w:rPr>
                <w:rFonts w:hint="eastAsia"/>
                <w:lang w:val="en-US" w:eastAsia="zh-CN"/>
              </w:rPr>
              <w:tab/>
            </w:r>
            <w:r>
              <w:rPr>
                <w:rFonts w:hint="default" w:ascii="Times New Roman" w:hAnsi="Times New Roman" w:eastAsia="楷体" w:cs="Times New Roman"/>
                <w:b/>
                <w:bCs/>
                <w:color w:val="auto"/>
                <w:kern w:val="0"/>
                <w:sz w:val="24"/>
                <w:highlight w:val="none"/>
              </w:rPr>
              <w:t>位代码</w:t>
            </w:r>
          </w:p>
        </w:tc>
        <w:tc>
          <w:tcPr>
            <w:tcW w:w="336"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招聘</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企业</w:t>
            </w:r>
          </w:p>
        </w:tc>
        <w:tc>
          <w:tcPr>
            <w:tcW w:w="377"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岗位</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名称</w:t>
            </w:r>
          </w:p>
        </w:tc>
        <w:tc>
          <w:tcPr>
            <w:tcW w:w="277"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lang w:eastAsia="zh-CN"/>
              </w:rPr>
            </w:pPr>
            <w:r>
              <w:rPr>
                <w:rFonts w:hint="default" w:ascii="Times New Roman" w:hAnsi="Times New Roman" w:eastAsia="楷体" w:cs="Times New Roman"/>
                <w:b/>
                <w:bCs/>
                <w:color w:val="auto"/>
                <w:kern w:val="0"/>
                <w:sz w:val="24"/>
                <w:highlight w:val="none"/>
              </w:rPr>
              <w:t>招聘</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人数</w:t>
            </w:r>
          </w:p>
        </w:tc>
        <w:tc>
          <w:tcPr>
            <w:tcW w:w="25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性别</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要求</w:t>
            </w:r>
          </w:p>
        </w:tc>
        <w:tc>
          <w:tcPr>
            <w:tcW w:w="247"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年龄</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要求</w:t>
            </w:r>
          </w:p>
        </w:tc>
        <w:tc>
          <w:tcPr>
            <w:tcW w:w="273"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学历</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要求</w:t>
            </w:r>
          </w:p>
        </w:tc>
        <w:tc>
          <w:tcPr>
            <w:tcW w:w="30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学位</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要求</w:t>
            </w:r>
          </w:p>
        </w:tc>
        <w:tc>
          <w:tcPr>
            <w:tcW w:w="555"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专业要求</w:t>
            </w:r>
          </w:p>
        </w:tc>
        <w:tc>
          <w:tcPr>
            <w:tcW w:w="1131" w:type="pct"/>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岗位要求</w:t>
            </w:r>
          </w:p>
        </w:tc>
        <w:tc>
          <w:tcPr>
            <w:tcW w:w="26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招聘</w:t>
            </w:r>
          </w:p>
          <w:p>
            <w:pPr>
              <w:widowControl/>
              <w:jc w:val="center"/>
              <w:rPr>
                <w:rFonts w:hint="default" w:ascii="Times New Roman" w:hAnsi="Times New Roman" w:eastAsia="楷体" w:cs="Times New Roman"/>
                <w:b/>
                <w:bCs/>
                <w:color w:val="auto"/>
                <w:kern w:val="0"/>
                <w:sz w:val="24"/>
                <w:highlight w:val="none"/>
              </w:rPr>
            </w:pPr>
            <w:r>
              <w:rPr>
                <w:rFonts w:hint="default" w:ascii="Times New Roman" w:hAnsi="Times New Roman" w:eastAsia="楷体" w:cs="Times New Roman"/>
                <w:b/>
                <w:bCs/>
                <w:color w:val="auto"/>
                <w:kern w:val="0"/>
                <w:sz w:val="24"/>
                <w:highlight w:val="none"/>
              </w:rPr>
              <w:t>方式</w:t>
            </w:r>
          </w:p>
        </w:tc>
        <w:tc>
          <w:tcPr>
            <w:tcW w:w="34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楷体" w:cs="Times New Roman"/>
                <w:b/>
                <w:bCs/>
                <w:color w:val="auto"/>
                <w:kern w:val="0"/>
                <w:sz w:val="24"/>
                <w:highlight w:val="none"/>
                <w:lang w:eastAsia="zh-CN"/>
              </w:rPr>
            </w:pPr>
            <w:r>
              <w:rPr>
                <w:rFonts w:hint="eastAsia" w:ascii="Times New Roman" w:hAnsi="Times New Roman" w:eastAsia="楷体" w:cs="Times New Roman"/>
                <w:b/>
                <w:bCs/>
                <w:color w:val="auto"/>
                <w:kern w:val="0"/>
                <w:sz w:val="24"/>
                <w:highlight w:val="none"/>
                <w:lang w:val="en-US" w:eastAsia="zh-CN"/>
              </w:rPr>
              <w:t>备注</w:t>
            </w:r>
          </w:p>
        </w:tc>
        <w:tc>
          <w:tcPr>
            <w:tcW w:w="37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楷体" w:cs="Times New Roman"/>
                <w:b/>
                <w:bCs/>
                <w:color w:val="auto"/>
                <w:kern w:val="0"/>
                <w:sz w:val="24"/>
                <w:highlight w:val="none"/>
                <w:lang w:val="en-US" w:eastAsia="zh-CN"/>
              </w:rPr>
            </w:pPr>
            <w:r>
              <w:rPr>
                <w:rFonts w:hint="eastAsia" w:ascii="Times New Roman" w:hAnsi="Times New Roman" w:eastAsia="楷体" w:cs="Times New Roman"/>
                <w:b/>
                <w:bCs/>
                <w:color w:val="auto"/>
                <w:kern w:val="0"/>
                <w:sz w:val="24"/>
                <w:highlight w:val="none"/>
                <w:lang w:val="en-US" w:eastAsia="zh-CN"/>
              </w:rPr>
              <w:t>考试</w:t>
            </w:r>
          </w:p>
          <w:p>
            <w:pPr>
              <w:widowControl/>
              <w:jc w:val="center"/>
              <w:rPr>
                <w:rFonts w:hint="eastAsia" w:ascii="Times New Roman" w:hAnsi="Times New Roman" w:eastAsia="楷体" w:cs="Times New Roman"/>
                <w:b/>
                <w:bCs/>
                <w:color w:val="auto"/>
                <w:kern w:val="0"/>
                <w:sz w:val="24"/>
                <w:highlight w:val="none"/>
                <w:lang w:val="en-US" w:eastAsia="zh-CN"/>
              </w:rPr>
            </w:pPr>
            <w:r>
              <w:rPr>
                <w:rFonts w:hint="eastAsia" w:ascii="Times New Roman" w:hAnsi="Times New Roman" w:eastAsia="楷体" w:cs="Times New Roman"/>
                <w:b/>
                <w:bCs/>
                <w:color w:val="auto"/>
                <w:kern w:val="0"/>
                <w:sz w:val="24"/>
                <w:highlight w:val="none"/>
                <w:lang w:val="en-US" w:eastAsia="zh-CN"/>
              </w:rPr>
              <w:t>内容</w:t>
            </w:r>
          </w:p>
        </w:tc>
      </w:tr>
      <w:tr>
        <w:tblPrEx>
          <w:tblCellMar>
            <w:top w:w="0" w:type="dxa"/>
            <w:left w:w="108" w:type="dxa"/>
            <w:bottom w:w="0" w:type="dxa"/>
            <w:right w:w="108" w:type="dxa"/>
          </w:tblCellMar>
        </w:tblPrEx>
        <w:trPr>
          <w:trHeight w:val="4027"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01</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品宣专员（偏向招商宣传方向）</w:t>
            </w:r>
          </w:p>
        </w:tc>
        <w:tc>
          <w:tcPr>
            <w:tcW w:w="2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中文、文学、中国文学、汉语言文学、新闻（学），广播电视新闻学、广告学、传播学、网络与新媒体、新媒体与信息网络、新闻采编与制作、新媒体、广告策划与营销、设计学、广告设计与制作</w:t>
            </w:r>
          </w:p>
        </w:tc>
        <w:tc>
          <w:tcPr>
            <w:tcW w:w="11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1、具有3年及以上媒体宣传相关工作经验；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2、性格开朗，有良好的沟通协调和文字把握能力，具有高度责任感和良好的团队协作精神。</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083"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02</w:t>
            </w:r>
          </w:p>
        </w:tc>
        <w:tc>
          <w:tcPr>
            <w:tcW w:w="336" w:type="pct"/>
            <w:tcBorders>
              <w:top w:val="single" w:color="auto" w:sz="4" w:space="0"/>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资产管理专员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会计与审计类、财政金融类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1、具有3年及以上资产管理相关工作经验；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2、工作细致，具有良好的沟通能力，对数据具有较高的敏感度。</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581"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03</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财务部副经理</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（融资资金）</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财政金融类、经济贸易类、会计与审计类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1、持有中级及以上会计师或经济师职称；</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2、具有10年及以上银行公司金融业务工作经验；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3、具有全面的金融专业知识及财务管理经验，熟练掌握企业融资全流程；</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4、为人正直、责任心强、作风严谨、工作仔细认真；</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5、有较强的沟通协调能力、有良好的纪律性、团队合作以及开拓创新精神。</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引进人才</w:t>
            </w:r>
          </w:p>
        </w:tc>
        <w:tc>
          <w:tcPr>
            <w:tcW w:w="347" w:type="pc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2636"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04</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财务部副经理</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（财务管理）</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财政金融类、经济贸易类、会计与审计类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1、持有中级会计师及以上职称，且持有注册会计师执业资格证书；</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2、具有10年及以上财务经理工作经验；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3、熟悉财政金融、税收等相关知识；</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4、具有丰富的税收筹划、全面预算、业财融合和财务信息化等管理经验；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5、具备良好的职业道德，及丰富的团队管理经验，有较强的沟通协调能力和团队协作能力。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引进人才</w:t>
            </w:r>
          </w:p>
        </w:tc>
        <w:tc>
          <w:tcPr>
            <w:tcW w:w="347" w:type="pc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2117"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05</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投资专员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eastAsia="zh-CN"/>
              </w:rPr>
            </w:pPr>
            <w:r>
              <w:rPr>
                <w:rFonts w:hint="eastAsia" w:ascii="楷体" w:hAnsi="楷体" w:eastAsia="楷体" w:cs="楷体"/>
                <w:i w:val="0"/>
                <w:iCs w:val="0"/>
                <w:color w:val="000000"/>
                <w:kern w:val="0"/>
                <w:sz w:val="22"/>
                <w:szCs w:val="22"/>
                <w:highlight w:val="none"/>
                <w:u w:val="none"/>
                <w:lang w:val="en-US" w:eastAsia="zh-CN" w:bidi="ar"/>
              </w:rPr>
              <w:t>经济贸易类、财政金融类、工商管理类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eastAsia="zh-CN"/>
              </w:rPr>
            </w:pPr>
            <w:r>
              <w:rPr>
                <w:rFonts w:hint="eastAsia" w:ascii="楷体" w:hAnsi="楷体" w:eastAsia="楷体" w:cs="楷体"/>
                <w:i w:val="0"/>
                <w:iCs w:val="0"/>
                <w:color w:val="000000"/>
                <w:kern w:val="0"/>
                <w:sz w:val="22"/>
                <w:szCs w:val="22"/>
                <w:highlight w:val="none"/>
                <w:u w:val="none"/>
                <w:lang w:val="en-US" w:eastAsia="zh-CN" w:bidi="ar"/>
              </w:rPr>
              <w:t>1、掌握基本经济、金融、财政知识、了解政府性投资等业务，能够做好项目相关的投资审查工作，参与有关风险研判；</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2、具有良好的沟通协调与组织能力，有较强的责任心与执行力，具备良好的团队合作意识。</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475"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06</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纪检干事</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会计与审计类、法学类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1、中共党员（含预备党员）；</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2、2023年高校应届毕业生；</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3、熟悉党和国家有关方针、政策、法规，具备良好的执行能力和沟通协调能力；善于发现和解决问题；具备较强的学习能力，能在较短时间内掌握并运用工作所需的知识，并能跟踪工作领域新的知识。</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1929"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07</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法务专员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rPr>
            </w:pPr>
            <w:r>
              <w:rPr>
                <w:rFonts w:hint="eastAsia" w:ascii="楷体" w:hAnsi="楷体" w:eastAsia="楷体" w:cs="楷体"/>
                <w:i w:val="0"/>
                <w:iCs w:val="0"/>
                <w:color w:val="000000"/>
                <w:kern w:val="0"/>
                <w:sz w:val="22"/>
                <w:szCs w:val="22"/>
                <w:highlight w:val="none"/>
                <w:u w:val="none"/>
                <w:lang w:val="en-US" w:eastAsia="zh-CN" w:bidi="ar"/>
              </w:rPr>
              <w:t>硕士研究生及以上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硕士及以上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法学类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认真细致，具有较强的沟通协调能力、分析判断能力和执行力，有良好的职业道德与团队精神。</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通过法律职业资格考试总成绩+2分；取得执业律师资格总成绩+2分。</w:t>
            </w: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1752"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08</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福建省晋江文旅集团有限公司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信息化专员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计算机科学与技术类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1、具有3年及以上信息化系统（如ERP/OA/HR等系统）实施或运维相关工作经验；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2、具有良好的分析能力和逻辑思维能力；能独立开展公司信息化系统的搭建、运维等工作，建立并完善信息化管理制度。</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1903"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09</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晋江国家体育城市股份有限公司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涉外专员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英语</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1、专业英语四级及以上；</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2、具有3年及以上体育赛事活动的执行工作经验。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257"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10</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晋江国家体育城市股份有限公司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rPr>
            </w:pPr>
            <w:r>
              <w:rPr>
                <w:rFonts w:hint="eastAsia" w:ascii="楷体" w:hAnsi="楷体" w:eastAsia="楷体" w:cs="楷体"/>
                <w:i w:val="0"/>
                <w:iCs w:val="0"/>
                <w:color w:val="000000"/>
                <w:kern w:val="0"/>
                <w:sz w:val="22"/>
                <w:szCs w:val="22"/>
                <w:highlight w:val="none"/>
                <w:u w:val="none"/>
                <w:lang w:val="en-US" w:eastAsia="zh-CN" w:bidi="ar"/>
              </w:rPr>
              <w:t>晋江市全民健身中心运营主管（青训方向）</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体育学类、经济学、管理学大类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具有5年及以上体育培训或企业培训或体育场馆运营等工作经验。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120"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11</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晋江市清新体育发展有限公司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晋江市足球训练中心市场专员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工商管理类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具有3年及以上体育场馆或体育赛事的市场工作经验。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90"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12</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晋江新丝路文旅实业有限公司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行政人事主管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汉语言文学、汉语国际教育</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1、具有3年以上行政人事相关工作经验，且具有2年及以上机关事业单位或国企工作经验（以社保记录为依据）；</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2、熟练使用办公软件，具有较强的公文处理能力和写作功底，具备良好的沟通、应变和组织协调能力。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1701"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13</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晋江新丝路文旅实业有限公司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总账会计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会计与审计类、财政金融类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1、持有注册会计师职业资格证书或高级会计师职称；</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2、具有5年及以上财务会计相关工作经验。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1701"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14</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晋江新丝路文旅实业有限公司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税务会计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会计与审计类、财政金融类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1、持有中级会计师及以上职称；</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2、具有3年及以上房地产税务管理相关工作经验。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1701"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15</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晋江新丝路文旅实业有限公司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报账会计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会计与审计类、财政金融类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1、持有中级会计师及以上职称；</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2、具有3年及以上房地产报账会计相关工作经验。</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2391"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16</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晋江新丝路文旅实业有限公司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土建造价工程师</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土木工程、工程造价</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1、具有5年及以上房地产工程造价相关工作经验，且有2年及以上地产类国企土建工程造价工作经验；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2、熟练掌握工程成本管理/造价软件。</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3644"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17</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晋江晋文坊商业管理有限公司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副总经理</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工商管理类、旅游餐饮类、会计与审计类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1、具有10年及以上商业文旅项目工作经验，其中2年以上高层管理岗位经验（总监或总助及以上职位）；</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2、负责过至少2个商业或文旅项目招商运营管理工作经验；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3、具有编制项目运营标准化文件、各阶段工作计划、项目成本目标和资金预算的能力及统筹项目各部门达成业绩指标能力。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056"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18</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讲解专员A</w:t>
            </w:r>
          </w:p>
        </w:tc>
        <w:tc>
          <w:tcPr>
            <w:tcW w:w="2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旅游餐饮类、新闻传播学类</w:t>
            </w:r>
          </w:p>
        </w:tc>
        <w:tc>
          <w:tcPr>
            <w:tcW w:w="11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1、具备2年及以上讲解接待或景区运营工作经验且持有普通话一级乙等及以上证书；</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2、中共党员（含预备党员）；</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3、熟悉场馆景区运营管理、讲解接待、游客服务等工作；</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4、具备较强的语言表达、沟通能力，能独立处理突发事件的能力。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165"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19</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会计</w:t>
            </w:r>
          </w:p>
        </w:tc>
        <w:tc>
          <w:tcPr>
            <w:tcW w:w="2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会计与审计类、财政金融类</w:t>
            </w:r>
          </w:p>
        </w:tc>
        <w:tc>
          <w:tcPr>
            <w:tcW w:w="11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1、具有3年及以上财务相关工作经验；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2、持有中级会计职称证书或注册会计师职业资格证书。</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r>
              <w:rPr>
                <w:rFonts w:hint="eastAsia" w:ascii="楷体" w:hAnsi="楷体" w:eastAsia="楷体" w:cs="楷体"/>
                <w:i w:val="0"/>
                <w:iCs w:val="0"/>
                <w:color w:val="auto"/>
                <w:kern w:val="0"/>
                <w:sz w:val="24"/>
                <w:szCs w:val="24"/>
                <w:highlight w:val="none"/>
                <w:u w:val="none"/>
                <w:lang w:val="en-US" w:eastAsia="zh-CN" w:bidi="ar"/>
              </w:rPr>
              <w:t>》</w:t>
            </w:r>
          </w:p>
        </w:tc>
      </w:tr>
      <w:tr>
        <w:tblPrEx>
          <w:tblCellMar>
            <w:top w:w="0" w:type="dxa"/>
            <w:left w:w="108" w:type="dxa"/>
            <w:bottom w:w="0" w:type="dxa"/>
            <w:right w:w="108" w:type="dxa"/>
          </w:tblCellMar>
        </w:tblPrEx>
        <w:trPr>
          <w:trHeight w:val="2262"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20</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平台运维工程师</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计算机科学与技术类、计算机软件技术类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1、具备2年及以上相关工作经验；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2、熟悉线上平台运营维护、信息化项目管理工作，配合办公系统建设维护；</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3、熟练掌握编程语言。</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3492"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21</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双语讲解主管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旅游餐饮类、新闻传播学类、外国语言文学类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1、具备2年及以上景区、展馆、博物馆等文化场馆英语讲解接待，或学校、语言培训机构英语教学工作经验；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2、取得英语专业四级及以上证书，或英语CET-6证书；</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3、持有普通话二级乙等及以上证书；</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4、熟悉场馆景区运营管理、讲解接待、游客服务等工作；</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5、具备较强的语言表达、沟通能力，能独立处理突发事件的能力。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1589"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22</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旅行社项目主管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lang w:val="en-US"/>
              </w:rPr>
            </w:pPr>
            <w:r>
              <w:rPr>
                <w:rFonts w:hint="eastAsia" w:ascii="楷体" w:hAnsi="楷体" w:eastAsia="楷体" w:cs="楷体"/>
                <w:i w:val="0"/>
                <w:iCs w:val="0"/>
                <w:color w:val="000000"/>
                <w:kern w:val="0"/>
                <w:sz w:val="22"/>
                <w:szCs w:val="22"/>
                <w:highlight w:val="none"/>
                <w:u w:val="none"/>
                <w:lang w:val="en-US" w:eastAsia="zh-CN" w:bidi="ar"/>
              </w:rPr>
              <w:t>不限</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1、具有8年及以上旅游行业工作经验，其中旅行社部门负责人岗位满3年；</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2、熟悉旅游产品、特色旅游产品等的开发与线路产品设计与行程安排。</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280"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23</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晋江市清新文旅产业运营管理有限公司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物业主管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土建类、机械类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1、有5年及以上物业工程管理相关工作经验；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2、须持有低压或高压电工证；</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3、熟悉水电工程设施设备、消防、电梯、空调、音响、照明灯设备设备的工作原理和维护操作；</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4、能独立处理工程部突发事件及部门管理工作；</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5、有团队合作精神，抗压能力强，工作责任心强，具有良好的沟通能力；</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6、熟练操作日常办公软件。</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585"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24</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福建省晋江邻里乐享产业发展有限公司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市场拓展专员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经济学、管理学大类、计算机软件技术类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1、具有2年及以上众创空间、孵化空间的运营工作经验；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2、思维活跃，具备敏锐的市场触觉，有全局意识，富有创造力并有强烈的责任感；</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3、具有良好的统筹、学习能力，表达能力强，具备优秀的团队精神。</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2"/>
                <w:szCs w:val="22"/>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268"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25</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晋江新丝路康养产业有限公司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行政专员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中国语言文学类、经济学、管理学大类、理学、工学大类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1、具有2年及以上行政工作经验（以社保记录为依据）；</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2、具备良好的沟通、应变和组织协调能力；有较强的公文写作能力。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563"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26</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晋江新丝路康养产业有限公司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物业主管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项目管理、信息管理、物业管理、医疗器械经营与管理、医院管理、社会医学与卫生事业管理、基础医学、物业设施管理</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1、具有3年以上工作经验，其中1年及以上医疗管理岗位或酒店物业管理工作经验；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2、具有高度的责任心，认可物业行业，较强的团队管理能力和协调应变能力；</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3、服务意识强，善于沟通；具有良好的执行及监管能力。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268"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27</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晋江新丝路康养产业有限公司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工程专员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35周岁及以下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建筑水电技术、工程管理、建设工程管理、建筑电气工程技术</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1、具有良好的沟通协调与组织能力，有较强的责任心与执行力，具备良好的团队合作意识；</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2、具备保障基础设备设施的巡查、维修、抢修、维护和管理，以及其他常规维修管护能力；</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3、具有高压电工作业证书。</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773" w:hRule="exac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28</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晋江新丝路康养产业有限公司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运营专员</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经济贸易类、工商管理类、会计与审计类</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1、具有3年及以上项目招商、运营管理工作经验；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2、思维活跃，具备敏锐的市场触觉，有全局意识，富有创造力并有强烈的责任感；</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3、具有良好的统筹、协调及谈判能力，表达能力强，具备优秀的领导、组织和团队管理能力。</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219"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29</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晋江新丝路教育科技有限公司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教育项目主管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40周岁及以下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教育学大类、表演艺术类、外国语言文学类、行政管理专业</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1、具有5年及以上幼儿园、学校、培训机构工作经验，其中2年管理层工作经验；</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2、擅长统筹协调，在管理实践上能不断创新，责任心强，熟知国家教育行业相关法律法规要求；</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3、擅长内外沟通，能妥善处理好与各职能部门关系。</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auto"/>
                <w:kern w:val="0"/>
                <w:sz w:val="24"/>
                <w:szCs w:val="24"/>
                <w:highlight w:val="none"/>
                <w:u w:val="none"/>
                <w:lang w:val="en-US" w:eastAsia="zh-CN" w:bidi="ar"/>
              </w:rPr>
              <w:t>《行政职业能力测验》</w:t>
            </w:r>
          </w:p>
        </w:tc>
      </w:tr>
      <w:tr>
        <w:tblPrEx>
          <w:tblCellMar>
            <w:top w:w="0" w:type="dxa"/>
            <w:left w:w="108" w:type="dxa"/>
            <w:bottom w:w="0" w:type="dxa"/>
            <w:right w:w="108" w:type="dxa"/>
          </w:tblCellMar>
        </w:tblPrEx>
        <w:trPr>
          <w:trHeight w:val="2367" w:hRule="atLeast"/>
        </w:trPr>
        <w:tc>
          <w:tcPr>
            <w:tcW w:w="26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楷体" w:hAnsi="楷体" w:eastAsia="楷体" w:cs="楷体"/>
                <w:color w:val="auto"/>
                <w:kern w:val="0"/>
                <w:sz w:val="24"/>
                <w:szCs w:val="24"/>
                <w:highlight w:val="none"/>
                <w:lang w:val="en-US" w:eastAsia="zh-CN"/>
              </w:rPr>
            </w:pPr>
            <w:r>
              <w:rPr>
                <w:rFonts w:hint="eastAsia" w:ascii="楷体" w:hAnsi="楷体" w:eastAsia="楷体" w:cs="楷体"/>
                <w:i w:val="0"/>
                <w:iCs w:val="0"/>
                <w:color w:val="000000"/>
                <w:kern w:val="0"/>
                <w:sz w:val="22"/>
                <w:szCs w:val="22"/>
                <w:highlight w:val="none"/>
                <w:u w:val="none"/>
                <w:lang w:val="en-US" w:eastAsia="zh-CN" w:bidi="ar"/>
              </w:rPr>
              <w:t>30</w:t>
            </w:r>
          </w:p>
        </w:tc>
        <w:tc>
          <w:tcPr>
            <w:tcW w:w="3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晋江市趣未教育咨询有限公司</w:t>
            </w:r>
          </w:p>
        </w:tc>
        <w:tc>
          <w:tcPr>
            <w:tcW w:w="3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会计</w:t>
            </w:r>
          </w:p>
        </w:tc>
        <w:tc>
          <w:tcPr>
            <w:tcW w:w="27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1</w:t>
            </w:r>
          </w:p>
        </w:tc>
        <w:tc>
          <w:tcPr>
            <w:tcW w:w="25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不限</w:t>
            </w:r>
          </w:p>
        </w:tc>
        <w:tc>
          <w:tcPr>
            <w:tcW w:w="247"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30周岁及以下</w:t>
            </w:r>
          </w:p>
        </w:tc>
        <w:tc>
          <w:tcPr>
            <w:tcW w:w="273"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本科及以上</w:t>
            </w:r>
          </w:p>
        </w:tc>
        <w:tc>
          <w:tcPr>
            <w:tcW w:w="30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学士及以上</w:t>
            </w:r>
          </w:p>
        </w:tc>
        <w:tc>
          <w:tcPr>
            <w:tcW w:w="555"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会计与审计类、财政金融类专业</w:t>
            </w:r>
          </w:p>
        </w:tc>
        <w:tc>
          <w:tcPr>
            <w:tcW w:w="113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1、为人诚信，专业知识扎实，有高度的责任心和敬业精神，职业操守良好；</w:t>
            </w:r>
            <w:r>
              <w:rPr>
                <w:rFonts w:hint="eastAsia" w:ascii="楷体" w:hAnsi="楷体" w:eastAsia="楷体" w:cs="楷体"/>
                <w:i w:val="0"/>
                <w:iCs w:val="0"/>
                <w:color w:val="000000"/>
                <w:kern w:val="0"/>
                <w:sz w:val="22"/>
                <w:szCs w:val="22"/>
                <w:highlight w:val="none"/>
                <w:u w:val="none"/>
                <w:lang w:val="en-US" w:eastAsia="zh-CN" w:bidi="ar"/>
              </w:rPr>
              <w:br w:type="textWrapping"/>
            </w:r>
            <w:r>
              <w:rPr>
                <w:rFonts w:hint="eastAsia" w:ascii="楷体" w:hAnsi="楷体" w:eastAsia="楷体" w:cs="楷体"/>
                <w:i w:val="0"/>
                <w:iCs w:val="0"/>
                <w:color w:val="000000"/>
                <w:kern w:val="0"/>
                <w:sz w:val="22"/>
                <w:szCs w:val="22"/>
                <w:highlight w:val="none"/>
                <w:u w:val="none"/>
                <w:lang w:val="en-US" w:eastAsia="zh-CN" w:bidi="ar"/>
              </w:rPr>
              <w:t>2、2023年高校应届毕业生。</w:t>
            </w:r>
          </w:p>
        </w:tc>
        <w:tc>
          <w:tcPr>
            <w:tcW w:w="2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楷体" w:hAnsi="楷体" w:eastAsia="楷体" w:cs="楷体"/>
                <w:color w:val="auto"/>
                <w:kern w:val="0"/>
                <w:sz w:val="24"/>
                <w:szCs w:val="24"/>
                <w:highlight w:val="none"/>
              </w:rPr>
            </w:pPr>
            <w:r>
              <w:rPr>
                <w:rFonts w:hint="eastAsia" w:ascii="楷体" w:hAnsi="楷体" w:eastAsia="楷体" w:cs="楷体"/>
                <w:i w:val="0"/>
                <w:iCs w:val="0"/>
                <w:color w:val="000000"/>
                <w:kern w:val="0"/>
                <w:sz w:val="22"/>
                <w:szCs w:val="22"/>
                <w:highlight w:val="none"/>
                <w:u w:val="none"/>
                <w:lang w:val="en-US" w:eastAsia="zh-CN" w:bidi="ar"/>
              </w:rPr>
              <w:t>考试聘用</w:t>
            </w:r>
          </w:p>
        </w:tc>
        <w:tc>
          <w:tcPr>
            <w:tcW w:w="34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 w:hAnsi="楷体" w:eastAsia="楷体" w:cs="楷体"/>
                <w:i w:val="0"/>
                <w:iCs w:val="0"/>
                <w:color w:val="auto"/>
                <w:kern w:val="0"/>
                <w:sz w:val="24"/>
                <w:szCs w:val="24"/>
                <w:highlight w:val="none"/>
                <w:u w:val="none"/>
                <w:lang w:val="en-US" w:eastAsia="zh-CN" w:bidi="ar"/>
              </w:rPr>
            </w:pPr>
            <w:r>
              <w:rPr>
                <w:rFonts w:hint="eastAsia" w:ascii="楷体" w:hAnsi="楷体" w:eastAsia="楷体" w:cs="楷体"/>
                <w:i w:val="0"/>
                <w:iCs w:val="0"/>
                <w:color w:val="000000"/>
                <w:kern w:val="0"/>
                <w:sz w:val="22"/>
                <w:szCs w:val="22"/>
                <w:highlight w:val="none"/>
                <w:u w:val="none"/>
                <w:lang w:val="en-US" w:eastAsia="zh-CN" w:bidi="ar"/>
              </w:rPr>
              <w:t>《财务专业卷》</w:t>
            </w:r>
          </w:p>
        </w:tc>
      </w:tr>
      <w:tr>
        <w:tblPrEx>
          <w:tblCellMar>
            <w:top w:w="0" w:type="dxa"/>
            <w:left w:w="108" w:type="dxa"/>
            <w:bottom w:w="0" w:type="dxa"/>
            <w:right w:w="108" w:type="dxa"/>
          </w:tblCellMar>
        </w:tblPrEx>
        <w:trPr>
          <w:trHeight w:val="635" w:hRule="atLeast"/>
        </w:trPr>
        <w:tc>
          <w:tcPr>
            <w:tcW w:w="977" w:type="pct"/>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color w:val="auto"/>
                <w:kern w:val="0"/>
                <w:sz w:val="24"/>
                <w:szCs w:val="24"/>
                <w:highlight w:val="none"/>
                <w:lang w:val="en-US" w:eastAsia="zh-CN"/>
              </w:rPr>
              <w:t>小</w:t>
            </w:r>
            <w:r>
              <w:rPr>
                <w:rFonts w:hint="eastAsia" w:ascii="楷体" w:hAnsi="楷体" w:eastAsia="楷体" w:cs="楷体"/>
                <w:color w:val="auto"/>
                <w:kern w:val="0"/>
                <w:sz w:val="24"/>
                <w:szCs w:val="24"/>
                <w:highlight w:val="none"/>
              </w:rPr>
              <w:t>计</w:t>
            </w:r>
          </w:p>
        </w:tc>
        <w:tc>
          <w:tcPr>
            <w:tcW w:w="4022" w:type="pct"/>
            <w:gridSpan w:val="10"/>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楷体" w:hAnsi="楷体" w:eastAsia="楷体" w:cs="楷体"/>
                <w:color w:val="auto"/>
                <w:kern w:val="0"/>
                <w:sz w:val="24"/>
                <w:szCs w:val="24"/>
                <w:highlight w:val="none"/>
                <w:lang w:val="en-US" w:eastAsia="zh-CN"/>
              </w:rPr>
            </w:pPr>
            <w:r>
              <w:rPr>
                <w:rFonts w:hint="eastAsia" w:ascii="楷体" w:hAnsi="楷体" w:eastAsia="楷体" w:cs="楷体"/>
                <w:color w:val="auto"/>
                <w:kern w:val="0"/>
                <w:sz w:val="24"/>
                <w:szCs w:val="24"/>
                <w:highlight w:val="none"/>
                <w:lang w:val="en-US" w:eastAsia="zh-CN"/>
              </w:rPr>
              <w:t>30</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xMjgwMWMzOWVlNGNjYjg0YzlkMDBjZjg2MDkwMTIifQ=="/>
  </w:docVars>
  <w:rsids>
    <w:rsidRoot w:val="125E5FE7"/>
    <w:rsid w:val="09223BE3"/>
    <w:rsid w:val="104C6A32"/>
    <w:rsid w:val="125E5FE7"/>
    <w:rsid w:val="34CE1AA2"/>
    <w:rsid w:val="38F407D9"/>
    <w:rsid w:val="415D77AE"/>
    <w:rsid w:val="7957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2023-11-14T09:16:00Z</dcterms:created>
  <dc:creator>肥平☺️</dc:creator>
  <cp:lastModifiedBy>Andy</cp:lastModifiedBy>
  <dcterms:modified xsi:type="dcterms:W3CDTF">2023-11-16T00:59:18Z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54B76EA84D8347749B63745698F276DA_11</vt:lpwstr>
  </property>
</Properties>
</file>