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1820"/>
        <w:jc w:val="left"/>
        <w:rPr>
          <w:rFonts w:ascii="宋体" w:hAnsi="宋体" w:eastAsia="宋体" w:cs="宋体"/>
          <w:b w:val="0"/>
          <w:i w:val="0"/>
          <w:caps w:val="0"/>
          <w:color w:val="01529D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1529D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招聘岗位汇总表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2871"/>
        <w:jc w:val="left"/>
        <w:rPr>
          <w:rFonts w:hint="eastAsia" w:ascii="宋体" w:hAnsi="宋体" w:eastAsia="宋体" w:cs="宋体"/>
          <w:b w:val="0"/>
          <w:i w:val="0"/>
          <w:caps w:val="0"/>
          <w:color w:val="01529D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01529D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646" w:type="dxa"/>
        <w:tblInd w:w="534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1"/>
        <w:gridCol w:w="940"/>
        <w:gridCol w:w="1078"/>
        <w:gridCol w:w="904"/>
        <w:gridCol w:w="945"/>
        <w:gridCol w:w="1554"/>
        <w:gridCol w:w="155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76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  位</w:t>
            </w:r>
          </w:p>
        </w:tc>
        <w:tc>
          <w:tcPr>
            <w:tcW w:w="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76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76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形式</w:t>
            </w:r>
          </w:p>
        </w:tc>
        <w:tc>
          <w:tcPr>
            <w:tcW w:w="10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76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9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76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学历学位要求</w:t>
            </w: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76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76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5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76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龄</w:t>
            </w:r>
          </w:p>
        </w:tc>
        <w:tc>
          <w:tcPr>
            <w:tcW w:w="15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76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  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5" w:hRule="atLeast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76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（用人单位）济南市劳动保障事务代理服务中心（用工单位）济南市商务局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76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76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76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76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76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76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遣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76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76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经济学类、金融学类、经济与贸易类、法学类、统计学类、计算机、软件工程、电子商务、国际商务、商务经济学、会展经济与管理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76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76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76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76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76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全日制大专及以上学历。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76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76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76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76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76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76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76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周岁以下（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8" w:space="0"/>
                <w:lang w:val="en-US" w:eastAsia="zh-CN" w:bidi="ar"/>
              </w:rPr>
              <w:t>日以后出生）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76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376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27A3E"/>
    <w:rsid w:val="52727A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2017-02-10T04:50:00Z</dcterms:created>
  <dc:creator>ASUS</dc:creator>
  <cp:lastModifiedBy>ASUS</cp:lastModifiedBy>
  <dcterms:modified xsi:type="dcterms:W3CDTF">2017-02-10T04:50:49Z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