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</w:rPr>
        <w:t>需求信息</w:t>
      </w:r>
    </w:p>
    <w:tbl>
      <w:tblPr>
        <w:tblW w:w="9410" w:type="dxa"/>
        <w:jc w:val="center"/>
        <w:tblInd w:w="-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020"/>
        <w:gridCol w:w="3315"/>
        <w:gridCol w:w="1215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  <w:t>招聘岗位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</w:rPr>
              <w:t>预计招聘人数</w:t>
            </w: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</w:rPr>
              <w:t>岗位条件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</w:rPr>
              <w:t>招聘单位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</w:rPr>
              <w:t>驻地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项目前期技术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工程设计技术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设备状态评价技术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水电及新能源运行技术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-195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电力系统及其自动化等电工类专业硕士研究生及以上学历，且本科阶段所学专业须是电工类专业。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变电运检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输电运检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配电运检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电力营销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换流站直流运检等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约20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电气工程及其自动化等电工类专业大学本科及以上学历。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地市公司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工程技经技术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工程项目管理技术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土建施工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约15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工程造价、工程管理、土木工程、技术经济专业大学本科及以上学历。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直属单位地市公司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新能源发电及接入技术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新能源科学与工程专业大学本科及以上学历。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设备状态评价技术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高分子材料与工程、应用化学专业大学本科及以上学历。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热工技术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能源动力系统及自动化专业大学本科及以上学历。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动力机械技术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动力机械及工程专业硕士研究生及以上学历。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电费核算与账务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约20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财务管理、会计学专业大学本科及以上学历。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直属单位地市公司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人力资源管理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人力资源管理专业大学本科及以上学历。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直属单位地市公司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物资技术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物资配送服务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物流管理、物资管理专业大学本科及以上学历。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直属单位地市公司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企业法制管理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约3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法律（法学）专业大学本科及以上学历。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直属单位地市公司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  <w:t>县或市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3" w:right="-313" w:hanging="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00"/>
          <w:spacing w:val="0"/>
          <w:sz w:val="28"/>
          <w:szCs w:val="28"/>
        </w:rPr>
        <w:t>备注：1.专业应为主修专业，且与教育部学籍在线验证报告中的专业一致。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3" w:right="-313" w:hanging="3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00"/>
          <w:spacing w:val="0"/>
          <w:sz w:val="28"/>
          <w:szCs w:val="28"/>
        </w:rPr>
        <w:t>      2.各招聘岗位的最终招聘人数会根据应聘生源情况进行相应调整。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1F0F"/>
    <w:rsid w:val="26C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2019-03-07T10:40:00Z</dcterms:created>
  <dc:creator>向青釉</dc:creator>
  <cp:lastModifiedBy>向青釉</cp:lastModifiedBy>
  <dcterms:modified xsi:type="dcterms:W3CDTF">2019-03-07T10:43:49Z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