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巴林右旗“绿色通道”引进人才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自我</w:t>
      </w:r>
      <w:r>
        <w:rPr>
          <w:rFonts w:hint="eastAsia" w:ascii="华文中宋" w:hAnsi="华文中宋" w:eastAsia="华文中宋" w:cs="华文中宋"/>
          <w:sz w:val="36"/>
          <w:szCs w:val="36"/>
        </w:rPr>
        <w:t>评价表</w:t>
      </w:r>
    </w:p>
    <w:p>
      <w:pPr>
        <w:spacing w:line="6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填报说明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一、公共评价项目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（一）专业层次方面：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1.一流大学和一流学科目录，以《教育部 财政部 国家发展改革委关于公布第二轮“双一流”建设高校及建设学科名单的通知》（教研函〔2022〕1号）为准。后附具体名单。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2.在一流学科认定上，所学专业须属该学科内专业。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3.海外学历报名人员，须提供获得奖学金证明文件材料（证明文件材料属外文的，须提供翻译文本）。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4.海外学历学校排名，以该校QS世界大学排名历史最高为准（须报名人员提供当年QS世界大学排名文件，无法提供的，以2021年QS世界大学排名为准）。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（二）成绩业绩方面：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以学校出具的加盖印章的研究生成绩单为准，按照下表对应赋分，以全部课程总成绩为准。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6"/>
        <w:gridCol w:w="2898"/>
        <w:gridCol w:w="21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百分制平均成绩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GPA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赋分值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85-100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3.7-4.0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75-84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2.7-3.6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15分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65-74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1.7-2.6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12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60-64</w:t>
            </w:r>
          </w:p>
        </w:tc>
        <w:tc>
          <w:tcPr>
            <w:tcW w:w="28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1.0-1.6</w:t>
            </w:r>
          </w:p>
        </w:tc>
        <w:tc>
          <w:tcPr>
            <w:tcW w:w="214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5分</w:t>
            </w:r>
          </w:p>
        </w:tc>
      </w:tr>
    </w:tbl>
    <w:p>
      <w:pPr>
        <w:spacing w:line="600" w:lineRule="exact"/>
        <w:ind w:firstLine="640" w:firstLineChars="200"/>
        <w:rPr>
          <w:rFonts w:ascii="仿宋_GB2312" w:hAnsi="黑体" w:eastAsia="仿宋_GB2312"/>
          <w:sz w:val="28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不能提供有效成绩单的，不得分。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（三）研究成果方面：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1.需提供检索页、扫描文本及作品文件。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2.全国性会议、国家级学术论坛发表论文文章的，需说明会议时间、主办单位、会议规格等情况。</w:t>
      </w:r>
    </w:p>
    <w:p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（四）荣誉方面：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荣誉等级认定上以颁发、授予单位的级别为准，以表彰文件、表彰证书、获奖证书、荣誉证书等用章单位作为认定依据。国家级指党中央、国务院授予或颁发的荣誉，省级指中央和国家机关部委及省（自治区、直辖市）党委、政府授予或颁发的荣誉，市级指省（自治区、直辖市）党委政府委办厅局及市党委、政府授予或颁发的荣誉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2.在校期间获得“国家奖学金”和“国家励志奖学金”的，无论获奖次数，只加3分。其他类型奖学金不计分。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3.学校授予的荣誉不计算得分。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二、岗位个性评价项目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不设定个性评价项目的，所有报名合格人员按20分计入总分。设定个性评价项目分值不足20分的，不足部分所有报名合格人员按得分计入总分。</w:t>
      </w:r>
    </w:p>
    <w:p>
      <w:pPr>
        <w:spacing w:line="600" w:lineRule="exact"/>
        <w:ind w:firstLine="640" w:firstLineChars="200"/>
        <w:jc w:val="right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巴林右旗人才工作领导小组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办公室</w:t>
      </w:r>
    </w:p>
    <w:p>
      <w:pPr>
        <w:spacing w:line="600" w:lineRule="exact"/>
        <w:ind w:firstLine="3520" w:firstLineChars="1100"/>
        <w:jc w:val="both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202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</w:t>
      </w:r>
      <w:r>
        <w:rPr>
          <w:rFonts w:ascii="仿宋_GB2312" w:hAnsi="黑体" w:eastAsia="仿宋_GB2312"/>
          <w:sz w:val="32"/>
          <w:szCs w:val="32"/>
        </w:rPr>
        <w:t>年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6</w:t>
      </w:r>
      <w:r>
        <w:rPr>
          <w:rFonts w:ascii="仿宋_GB2312" w:hAnsi="黑体" w:eastAsia="仿宋_GB2312"/>
          <w:sz w:val="32"/>
          <w:szCs w:val="32"/>
        </w:rPr>
        <w:t>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22</w:t>
      </w:r>
      <w:r>
        <w:rPr>
          <w:rFonts w:ascii="仿宋_GB2312" w:hAnsi="黑体" w:eastAsia="仿宋_GB2312"/>
          <w:sz w:val="32"/>
          <w:szCs w:val="32"/>
        </w:rPr>
        <w:t>日</w:t>
      </w:r>
    </w:p>
    <w:p>
      <w:pPr>
        <w:widowControl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widowControl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widowControl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widowControl/>
        <w:jc w:val="center"/>
        <w:rPr>
          <w:rFonts w:hint="default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巴林右旗</w:t>
      </w:r>
      <w:r>
        <w:rPr>
          <w:rFonts w:hint="eastAsia" w:ascii="华文中宋" w:hAnsi="华文中宋" w:eastAsia="华文中宋" w:cs="华文中宋"/>
          <w:sz w:val="36"/>
          <w:szCs w:val="36"/>
        </w:rPr>
        <w:t>“绿色通道”引进人才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岗位分类说明</w:t>
      </w:r>
    </w:p>
    <w:p>
      <w:pPr>
        <w:widowControl/>
        <w:ind w:firstLine="643" w:firstLineChars="200"/>
        <w:jc w:val="left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</w:p>
    <w:p>
      <w:pPr>
        <w:widowControl/>
        <w:ind w:firstLine="643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一、旗委部门岗位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包含赤峰市党员干部教育译制基地、巴林右旗新时代文明实践服务中心、巴林右旗机构编制数据中心、中共巴林右旗委员会党校、巴林右旗融媒体中心等用人单位的岗位。</w:t>
      </w:r>
    </w:p>
    <w:p>
      <w:pPr>
        <w:widowControl/>
        <w:ind w:firstLine="643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二、旗政府部门岗位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包含巴林右旗工业和数字经济产业促进中心、巴林右旗民族团结进步促进中心、巴林右旗公共财政保障中心、巴林右旗财政投资评审中心、巴林右旗金融工作服务中心、巴林右旗人事人才服务中心、国土空间规划审查中心、巴林右旗建设工程质量安全技术服务中心、巴林右旗公路管护和运输保障中心、巴林右旗水资源保护和水利工程质量监测中心、巴林右旗博物馆、巴林右旗博物馆、巴林右旗非物质文化遗产保护中心、巴林右旗民俗博物馆、巴林右旗农牧业综合检验检测中心、巴林右旗动物疫病预防控制中心、巴林右旗农牧技术推广中心、巴林右旗产品质量检验检测所、巴林右旗统计调查中心、巴林右旗医疗保险服务中心等用人单位的岗位。</w:t>
      </w:r>
    </w:p>
    <w:p>
      <w:pPr>
        <w:widowControl/>
        <w:ind w:firstLine="643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三、苏木、镇岗位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包含巴林右旗宝日勿苏镇党群服务中心、巴林右旗巴彦琥硕镇党群服务中心、巴林右旗巴彦琥硕镇综合保障和技术推广中心等用人单位的岗位。</w:t>
      </w:r>
    </w:p>
    <w:p>
      <w:pPr>
        <w:widowControl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widowControl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widowControl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填报示例：</w:t>
      </w:r>
    </w:p>
    <w:p>
      <w:pPr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巴林右旗202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val="en-US" w:eastAsia="zh-CN"/>
        </w:rPr>
        <w:t>2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年事业单位“绿色通道”引进人才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  <w:lang w:val="en-US" w:eastAsia="zh-CN"/>
        </w:rPr>
        <w:t>自我</w:t>
      </w:r>
      <w:r>
        <w:rPr>
          <w:rFonts w:hint="eastAsia" w:ascii="华文中宋" w:hAnsi="华文中宋" w:eastAsia="华文中宋" w:cs="华文中宋"/>
          <w:b w:val="0"/>
          <w:spacing w:val="-34"/>
          <w:sz w:val="36"/>
          <w:szCs w:val="36"/>
        </w:rPr>
        <w:t>评价表</w:t>
      </w:r>
    </w:p>
    <w:p>
      <w:pPr>
        <w:jc w:val="center"/>
        <w:rPr>
          <w:rFonts w:hint="eastAsia" w:ascii="楷体_GB2312" w:hAnsi="黑体" w:eastAsia="楷体_GB2312" w:cs="Times New Roman"/>
          <w:b w:val="0"/>
          <w:spacing w:val="-10"/>
          <w:kern w:val="0"/>
          <w:sz w:val="28"/>
          <w:szCs w:val="21"/>
        </w:rPr>
      </w:pPr>
      <w:r>
        <w:rPr>
          <w:rFonts w:hint="eastAsia" w:ascii="楷体_GB2312" w:hAnsi="黑体" w:eastAsia="楷体_GB2312" w:cs="Times New Roman"/>
          <w:b w:val="0"/>
          <w:spacing w:val="-10"/>
          <w:kern w:val="0"/>
          <w:sz w:val="28"/>
          <w:szCs w:val="21"/>
        </w:rPr>
        <w:t xml:space="preserve">（     </w:t>
      </w: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>报考旗政府部门岗位</w:t>
      </w:r>
      <w:r>
        <w:rPr>
          <w:rFonts w:hint="eastAsia" w:ascii="楷体_GB2312" w:hAnsi="黑体" w:eastAsia="楷体_GB2312" w:cs="Times New Roman"/>
          <w:b w:val="0"/>
          <w:spacing w:val="-10"/>
          <w:kern w:val="0"/>
          <w:sz w:val="28"/>
          <w:szCs w:val="21"/>
        </w:rPr>
        <w:t xml:space="preserve">    ）</w:t>
      </w:r>
    </w:p>
    <w:p>
      <w:pPr>
        <w:rPr>
          <w:rFonts w:ascii="黑体" w:hAnsi="黑体" w:eastAsia="黑体"/>
          <w:b/>
          <w:sz w:val="24"/>
          <w:szCs w:val="21"/>
        </w:rPr>
      </w:pPr>
      <w:r>
        <w:rPr>
          <w:rFonts w:hint="eastAsia" w:ascii="黑体" w:hAnsi="黑体" w:eastAsia="黑体"/>
          <w:sz w:val="24"/>
          <w:szCs w:val="21"/>
        </w:rPr>
        <w:t xml:space="preserve">报名人员姓名: </w:t>
      </w:r>
      <w:r>
        <w:rPr>
          <w:rFonts w:hint="eastAsia" w:ascii="楷体_GB2312" w:hAnsi="黑体" w:eastAsia="楷体_GB2312"/>
          <w:color w:val="FF0000"/>
          <w:sz w:val="28"/>
          <w:szCs w:val="28"/>
          <w:lang w:val="en-US" w:eastAsia="zh-CN"/>
        </w:rPr>
        <w:t>张某某</w:t>
      </w:r>
      <w:r>
        <w:rPr>
          <w:rFonts w:hint="eastAsia" w:ascii="黑体" w:hAnsi="黑体" w:eastAsia="黑体"/>
          <w:b w:val="0"/>
          <w:sz w:val="24"/>
          <w:szCs w:val="21"/>
          <w:lang w:val="en-US" w:eastAsia="zh-CN"/>
        </w:rPr>
        <w:t>招聘单位及</w:t>
      </w:r>
      <w:r>
        <w:rPr>
          <w:rFonts w:hint="eastAsia" w:ascii="黑体" w:hAnsi="黑体" w:eastAsia="黑体"/>
          <w:b w:val="0"/>
          <w:sz w:val="24"/>
          <w:szCs w:val="21"/>
        </w:rPr>
        <w:t>岗位</w:t>
      </w:r>
      <w:r>
        <w:rPr>
          <w:rFonts w:hint="eastAsia" w:ascii="黑体" w:hAnsi="黑体" w:eastAsia="黑体"/>
          <w:sz w:val="24"/>
          <w:szCs w:val="21"/>
        </w:rPr>
        <w:t xml:space="preserve">: </w:t>
      </w:r>
      <w:r>
        <w:rPr>
          <w:rFonts w:hint="eastAsia" w:ascii="楷体_GB2312" w:hAnsi="黑体" w:eastAsia="楷体_GB2312"/>
          <w:color w:val="FF0000"/>
          <w:sz w:val="18"/>
          <w:szCs w:val="18"/>
          <w:lang w:val="en-US" w:eastAsia="zh-CN"/>
        </w:rPr>
        <w:t>巴林右旗******</w:t>
      </w:r>
      <w:r>
        <w:rPr>
          <w:rFonts w:hint="eastAsia" w:ascii="楷体_GB2312" w:hAnsi="黑体" w:eastAsia="楷体_GB2312"/>
          <w:color w:val="FF0000"/>
          <w:sz w:val="18"/>
          <w:szCs w:val="18"/>
        </w:rPr>
        <w:t>中心</w:t>
      </w:r>
      <w:r>
        <w:rPr>
          <w:rFonts w:hint="eastAsia" w:ascii="楷体_GB2312" w:hAnsi="黑体" w:eastAsia="楷体_GB2312"/>
          <w:color w:val="FF0000"/>
          <w:sz w:val="18"/>
          <w:szCs w:val="18"/>
          <w:lang w:val="en-US" w:eastAsia="zh-CN"/>
        </w:rPr>
        <w:t>岗位1</w:t>
      </w:r>
      <w:r>
        <w:rPr>
          <w:rFonts w:hint="eastAsia" w:ascii="黑体" w:hAnsi="黑体" w:eastAsia="黑体"/>
          <w:sz w:val="18"/>
          <w:szCs w:val="18"/>
        </w:rPr>
        <w:t xml:space="preserve"> </w:t>
      </w:r>
      <w:r>
        <w:rPr>
          <w:rFonts w:hint="eastAsia" w:ascii="黑体" w:hAnsi="黑体" w:eastAsia="黑体"/>
          <w:sz w:val="24"/>
          <w:szCs w:val="21"/>
        </w:rPr>
        <w:t xml:space="preserve">自评得分:  </w:t>
      </w:r>
      <w:r>
        <w:rPr>
          <w:rFonts w:hint="eastAsia" w:ascii="黑体" w:hAnsi="黑体" w:eastAsia="黑体"/>
          <w:color w:val="FF0000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color w:val="FF0000"/>
          <w:sz w:val="28"/>
          <w:szCs w:val="28"/>
        </w:rPr>
        <w:t>1</w:t>
      </w:r>
    </w:p>
    <w:tbl>
      <w:tblPr>
        <w:tblStyle w:val="5"/>
        <w:tblW w:w="892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708"/>
        <w:gridCol w:w="4536"/>
        <w:gridCol w:w="709"/>
        <w:gridCol w:w="1418"/>
        <w:gridCol w:w="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评价类别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项目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赋分标准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总分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自评得分项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/>
                <w:color w:val="000000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7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color w:val="000000"/>
                <w:sz w:val="24"/>
                <w:szCs w:val="24"/>
              </w:rPr>
              <w:t>公共评价项目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color w:val="000000"/>
                <w:sz w:val="24"/>
                <w:szCs w:val="24"/>
              </w:rPr>
              <w:t>专业层次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18"/>
                <w:szCs w:val="18"/>
              </w:rPr>
              <w:t>本  科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分，其他得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/>
                <w:color w:val="000000"/>
                <w:sz w:val="24"/>
                <w:szCs w:val="24"/>
              </w:rPr>
            </w:pPr>
            <w:r>
              <w:rPr>
                <w:rFonts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东北大学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行政管理专业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/>
                <w:color w:val="FF0000"/>
                <w:szCs w:val="21"/>
              </w:rPr>
            </w:pPr>
            <w:r>
              <w:rPr>
                <w:rFonts w:hint="eastAsia" w:cs="宋体"/>
                <w:b/>
                <w:color w:val="FF0000"/>
                <w:szCs w:val="21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18"/>
                <w:szCs w:val="18"/>
              </w:rPr>
              <w:t>研究生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国 内：一流大学且一流学科者得20分，一流大学非一流学科者得15分，非一流大学但一流学科者得15分，一流学科建设所在高校非一流专业者得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分，其他得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分。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海 外：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学校QS综合排名1-100名的，全额奖学金者得20分，半额奖学金者得15分，无奖学金者得10分；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学校QS综合排名101-200名的，全额奖学金者得15分，半额奖学金者得10分，无奖学金者得5分；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学校QS综合排名201-500名的，全额奖学金者得12分，半额奖学金者得6分，无奖学金者4分；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学校QS综合排名501-1000名的,全额奖学金者得10分，半额奖学金者得5分，无奖学金者3分。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/>
                <w:color w:val="000000"/>
                <w:sz w:val="24"/>
                <w:szCs w:val="24"/>
              </w:rPr>
            </w:pPr>
            <w:r>
              <w:rPr>
                <w:rFonts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内蒙古大学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法学专业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eastAsiaTheme="minorEastAsia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color w:val="FF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color w:val="000000"/>
                <w:sz w:val="24"/>
                <w:szCs w:val="24"/>
              </w:rPr>
              <w:t>成绩业绩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研究生成绩：</w:t>
            </w:r>
          </w:p>
          <w:p>
            <w:pPr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GPA为4.0-3.7得</w:t>
            </w:r>
            <w:r>
              <w:rPr>
                <w:rFonts w:cs="宋体"/>
                <w:color w:val="000000"/>
                <w:spacing w:val="-4"/>
                <w:sz w:val="18"/>
                <w:szCs w:val="18"/>
              </w:rPr>
              <w:t>20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分，</w:t>
            </w:r>
          </w:p>
          <w:p>
            <w:pPr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GPA为3.6-2.7得</w:t>
            </w:r>
            <w:r>
              <w:rPr>
                <w:rFonts w:cs="宋体"/>
                <w:color w:val="000000"/>
                <w:spacing w:val="-4"/>
                <w:sz w:val="18"/>
                <w:szCs w:val="18"/>
              </w:rPr>
              <w:t>15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分，</w:t>
            </w:r>
          </w:p>
          <w:p>
            <w:pPr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GPA为2.6-1.7得</w:t>
            </w:r>
            <w:r>
              <w:rPr>
                <w:rFonts w:cs="宋体"/>
                <w:color w:val="000000"/>
                <w:spacing w:val="-4"/>
                <w:sz w:val="18"/>
                <w:szCs w:val="18"/>
              </w:rPr>
              <w:t>10</w:t>
            </w: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分，</w:t>
            </w:r>
          </w:p>
          <w:p>
            <w:pPr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GPA为1.6-1.0得5分。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/>
                <w:color w:val="000000"/>
                <w:sz w:val="24"/>
                <w:szCs w:val="24"/>
              </w:rPr>
            </w:pPr>
            <w:r>
              <w:rPr>
                <w:rFonts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GPA:3.2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/>
                <w:color w:val="FF0000"/>
                <w:szCs w:val="21"/>
              </w:rPr>
            </w:pPr>
            <w:r>
              <w:rPr>
                <w:rFonts w:hint="eastAsia" w:cs="宋体"/>
                <w:b/>
                <w:color w:val="FF0000"/>
                <w:szCs w:val="21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color w:val="000000"/>
                <w:sz w:val="24"/>
                <w:szCs w:val="24"/>
              </w:rPr>
              <w:t>研究成果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作为第一作者发表论文文章且被SCI收录者，每篇得5分；作为第一作者发表论文文章且被EI收录者，每篇得3分；作为第一作者在国内核心期刊、全国性会议、国家级学术论坛发表论文文章者，每篇得2分。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同一篇文章按最高分计算，发表多篇的累加不超10分。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在《中国人才》发表***文章1篇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/>
                <w:color w:val="FF0000"/>
                <w:szCs w:val="21"/>
              </w:rPr>
            </w:pPr>
            <w:r>
              <w:rPr>
                <w:rFonts w:hint="eastAsia" w:cs="宋体"/>
                <w:b/>
                <w:color w:val="FF000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color w:val="000000"/>
                <w:sz w:val="24"/>
                <w:szCs w:val="24"/>
              </w:rPr>
              <w:t>荣誉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/>
                <w:color w:val="000000"/>
                <w:spacing w:val="-4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pacing w:val="-4"/>
                <w:sz w:val="18"/>
                <w:szCs w:val="18"/>
              </w:rPr>
              <w:t>各项累加不超过10分。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</w:rPr>
              <w:t>1</w:t>
            </w:r>
            <w:r>
              <w:rPr>
                <w:rFonts w:cs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1.获得**市脱贫攻坚先进个人</w:t>
            </w:r>
          </w:p>
          <w:p>
            <w:pPr>
              <w:widowControl/>
              <w:spacing w:line="240" w:lineRule="exact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2.2019年度国家奖学金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/>
                <w:color w:val="FF0000"/>
                <w:szCs w:val="21"/>
              </w:rPr>
            </w:pPr>
            <w:r>
              <w:rPr>
                <w:rFonts w:hint="eastAsia" w:cs="宋体"/>
                <w:b/>
                <w:color w:val="FF0000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color w:val="000000"/>
                <w:sz w:val="24"/>
                <w:szCs w:val="24"/>
              </w:rPr>
              <w:t>岗位个性评价项目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both"/>
              <w:rPr>
                <w:rFonts w:hint="default"/>
                <w:b w:val="0"/>
                <w:color w:val="000000"/>
                <w:spacing w:val="-4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1.中共党员得</w:t>
            </w:r>
            <w:r>
              <w:rPr>
                <w:rFonts w:hint="eastAsia" w:cs="Times New Roman"/>
                <w:b w:val="0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分。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2.本科和研究生专业为同一学科类别的得</w:t>
            </w:r>
            <w:r>
              <w:rPr>
                <w:rFonts w:hint="eastAsia" w:cs="Times New Roman"/>
                <w:b w:val="0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分</w:t>
            </w:r>
          </w:p>
          <w:p>
            <w:pPr>
              <w:widowControl/>
              <w:spacing w:line="240" w:lineRule="exact"/>
              <w:rPr>
                <w:rFonts w:cs="宋体"/>
                <w:color w:val="FF0000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 w:val="0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3.</w:t>
            </w:r>
            <w:r>
              <w:rPr>
                <w:rFonts w:hint="eastAsia" w:cs="宋体"/>
                <w:b w:val="0"/>
                <w:spacing w:val="-4"/>
                <w:sz w:val="18"/>
                <w:szCs w:val="18"/>
              </w:rPr>
              <w:t>所有报名合格人员得</w:t>
            </w:r>
            <w:r>
              <w:rPr>
                <w:rFonts w:hint="eastAsia" w:cs="宋体"/>
                <w:b w:val="0"/>
                <w:spacing w:val="-4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cs="宋体"/>
                <w:b w:val="0"/>
                <w:spacing w:val="-4"/>
                <w:sz w:val="18"/>
                <w:szCs w:val="18"/>
              </w:rPr>
              <w:t>0分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eastAsiaTheme="minorEastAsia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_GB2312" w:eastAsia="楷体_GB2312" w:cs="宋体"/>
                <w:color w:val="FF0000"/>
                <w:szCs w:val="21"/>
              </w:rPr>
            </w:pPr>
            <w:r>
              <w:rPr>
                <w:rFonts w:hint="eastAsia" w:ascii="楷体_GB2312" w:eastAsia="楷体_GB2312" w:cs="宋体"/>
                <w:color w:val="FF0000"/>
                <w:szCs w:val="21"/>
              </w:rPr>
              <w:t>本科专业法学、研究生专业行政法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cs="宋体" w:eastAsiaTheme="minorEastAsia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color w:val="FF0000"/>
                <w:szCs w:val="21"/>
                <w:lang w:val="en-US" w:eastAsia="zh-CN"/>
              </w:rPr>
              <w:t>15</w:t>
            </w:r>
          </w:p>
        </w:tc>
      </w:tr>
    </w:tbl>
    <w:p>
      <w:pPr>
        <w:jc w:val="both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特殊人才: 1. 作为第一作者文章被</w:t>
      </w:r>
      <w:r>
        <w:rPr>
          <w:rFonts w:ascii="仿宋_GB2312" w:eastAsia="仿宋_GB2312"/>
          <w:szCs w:val="21"/>
        </w:rPr>
        <w:t>SCI收录</w:t>
      </w:r>
      <w:r>
        <w:rPr>
          <w:rFonts w:hint="eastAsia" w:ascii="仿宋_GB2312" w:eastAsia="仿宋_GB2312"/>
          <w:szCs w:val="21"/>
        </w:rPr>
        <w:t>超过5篇（含）者，人才评价按满分计算（100分）。</w:t>
      </w:r>
    </w:p>
    <w:p>
      <w:pPr>
        <w:numPr>
          <w:ilvl w:val="0"/>
          <w:numId w:val="1"/>
        </w:numPr>
        <w:ind w:firstLine="1050" w:firstLineChars="50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获得国家级荣誉3项（含）以上者，人才评价按满分计算（100分）。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本人签字：</w:t>
      </w:r>
      <w:r>
        <w:rPr>
          <w:rFonts w:hint="eastAsia" w:ascii="楷体_GB2312" w:hAnsi="黑体" w:eastAsia="楷体_GB2312"/>
          <w:color w:val="FF0000"/>
          <w:sz w:val="28"/>
          <w:szCs w:val="28"/>
          <w:lang w:val="en-US" w:eastAsia="zh-CN"/>
        </w:rPr>
        <w:t>张某某</w:t>
      </w:r>
      <w:r>
        <w:rPr>
          <w:rFonts w:ascii="仿宋_GB2312" w:hAnsi="黑体" w:eastAsia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40"/>
          <w:szCs w:val="40"/>
          <w:lang w:val="en-US" w:eastAsia="zh-CN" w:bidi="ar"/>
        </w:rPr>
        <w:t>第二轮“双一流”建设高校及建设学科名单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ascii="楷体_GB2312" w:hAnsi="宋体" w:eastAsia="楷体_GB2312" w:cs="楷体_GB2312"/>
          <w:color w:val="000000"/>
          <w:kern w:val="0"/>
          <w:sz w:val="29"/>
          <w:szCs w:val="29"/>
          <w:lang w:val="en-US" w:eastAsia="zh-CN" w:bidi="ar"/>
        </w:rPr>
        <w:t>（按学校代码排序）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FZFangSong-Z02S" w:hAnsi="FZFangSong-Z02S" w:eastAsia="FZFangSong-Z02S" w:cs="FZFangSong-Z02S"/>
          <w:b/>
          <w:bCs/>
          <w:color w:val="000000"/>
          <w:kern w:val="0"/>
          <w:sz w:val="29"/>
          <w:szCs w:val="29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（自主确定建设学科并自行公布）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中国人民大学：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哲学、理论经济学、应用经济学、法学、政治学、 社会学、马克思主义理论、新闻传播学、中国史、统计学、工商管理、农林经济管理、公共管理、图书情报与档案管理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清华大学：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（自主确定建设学科并自行公布）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系统科学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北京航空航天大学：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力学、仪器科学与技术、材料科学与工程、控制科学与工程、计算机科学与技术、交通运输工程、航空宇航科学与技术、软件工程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物理学、材料科学与工程、控制科学与工程、兵器科学与技术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科学技术史、材料科学与工程、冶金工程、矿业工程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北京化工大学：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北京邮电大学：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信息与通信工程、计算机科学与技术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生物学、农业工程、食品科学与工程、作物学、农业资源与环境、植物保护、畜牧学、兽医学、草学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风景园林学、林学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北京协和医学院：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生物学、生物医学工程、临床医学、公共卫生与预防医学、药学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中医学、中西医结合、中药学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哲学、教育学、心理学、中国语言文学、外国语 言文学、中国史、数学、地理学、系统科学、生态学、环境科学与工程、戏剧与影视学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首都师范大学：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北京外国语大学：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中国传媒大学：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新闻传播学、戏剧与影视学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对外经济贸易大学：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外交学院：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政治学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中国人民公安大学：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公安学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北京体育大学：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体育学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中央美术学院：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美术学、设计学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中央戏剧学院：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戏剧与影视学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中央民族大学：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民族学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中国政法大学：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法学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应用经济学、世界史、数学、化学、统计学、材料科学与工程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化学、材料科学与工程、动力工程及工程热物理、化学工程与技术、管理科学与工程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纺织科学与工程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天津中医药大学：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华北电力大学：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河北工业大学：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山西大学：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哲学、物理学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太原理工大学：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内蒙古大学：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辽宁大学：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大连理工大学：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力学、机械工程、化学工程与技术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冶金工程、控制科学与工程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大连海事大学：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吉林大学：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考古学、数学、物理学、化学、生物学、材料科学与工程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延边大学：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马克思主义理论、教育学、世界史、化学、统计学、材料科学与工程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哈尔滨工业大学：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力学、机械工程、材料科学与工程、控制科学与工程、计算机科学与技术、土木工程、航空宇航科学与技术、环境科学与工程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哈尔滨工程大学：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船舶与海洋工程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畜牧学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东北林业大学：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林业工程、林学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复旦大学：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应用经济学、政治学、马克思主义理论、中国语言文学、外国语言文学、中国史、数学、物理学、化学、生物学、生态学、材料科学与工程、环境科学与工程、基础医学、临床医学、公共卫生与预防医学、中西医结合、药学、集成电路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同济大学：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生物学、建筑学、土木工程、测绘科学与技术、环境科学与工程、城乡规划学、风景园林学、设计学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、物理学、化学、生物学、机械工程、材料科学与工程、电子科学与技术、信息与通信工程、控制科学与工程、计算机科学与技术、土木工程、化学工程与技术、船舶与海洋工程、基础医学、临床医学、口腔医学、药学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华东理工大学：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东华大学：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材料科学与工程、纺织科学与工程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上海海洋大学：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水产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中医学、中药学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华东师范大学：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教育学、生态学、统计学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上海外国语大学：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上海体育学院：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体育学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上海音乐学院：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音乐与舞蹈学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哲学、理论经济学、中国语言文学、外国语言文学、物理学、化学、天文学、大气科学、地质学、生物学、材料科学与工程、计算机科学与技术、化学工程与技术、矿业工程、环境科学与工 程、图书情报与档案管理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苏州大学：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东南大学：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机械工程、材料科学与工程、电子科学与技术、信息与通信工程、控制科学与工程、计算机科学与技术、建筑学、土木工程、交通运输工程、生物医学工程、风景园林学、艺术学理论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南京航空航天大学：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力学、控制科学与工程、航空宇航科学与技术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兵器科学与技术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中国矿业大学：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矿业工程、安全科学与工程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南京邮电大学：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电子科学与技术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河海大学：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水利工程、环境科学与工程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江南大学：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轻工技术与工程、食品科学与工程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南京林业大学：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林业工程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南京信息工程大学：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大气科学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作物学、农业资源与环境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公共卫生与预防医学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中国药科大学：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南京师范大学：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浙江大学：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生物学、生态学、机械工程、光学工程、材料科学与工程、动力工程及工程热物理、电气工程、控制科学与工程、计算机科学与技术、土木工程、农业工程、环境科学与工程、软件工程、园艺学、植物保护、基础医学、临床医学、药学、管理科学与工 程、农林经济管理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中国美术学院：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美术学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安徽大学：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中国科学技术大学：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数学、物理学、化学、天文学、地球物理学、生物学、科学技术史、材料科学与工程、计算机科学与技术、核科学与技术、安全科学与工程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合肥工业大学：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厦门大学：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教育学、化学、海洋科学、生物学、生态学、统计学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福州大学：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南昌大学：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山东大学：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中国语言文学、数学、化学、临床医学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中国海洋大学：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海洋科学、水产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中国石油大学（华东）：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地质资源与地质工程、石油与天然气工程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郑州大学：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河南大学：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武汉大学：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理论经济学、法学、马克思主义理论、化学、地球物理学、生物学、土木工程、水利工程、测绘科学与技术、口腔医学、图书情报与档案管理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华中科技大学：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机械工程、光学工程、材料科学与工程、动力工程及工程热物理、电气工程、计算机科学与技术、基础医学、临床医 学、公共卫生与预防医学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中国地质大学（武汉）：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地质学、地质资源与地质工程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武汉理工大学：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华中农业大学：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生物学、园艺学、畜牧学、兽医学、农林经济管理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华中师范大学：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政治学、教育学、中国语言文学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中南财经政法大学：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法学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湘潭大学：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湖南大学：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化学、机械工程、电气工程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数学、材料科学与工程、冶金工程、矿业工程、交通运输工程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湖南师范大学：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外国语言文学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中山大学：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哲学、数学、化学、生物学、生态学、材料科学与工程、电子科学与技术、基础医学、临床医学、药学、工商管理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暨南大学：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华南理工大学：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化学、材料科学与工程、轻工技术与工程、食品科学与工程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华南农业大学：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广州医科大学：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临床医学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广州中医药大学：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华南师范大学：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物理学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海南大学：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广西大学：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四川大学：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数学、化学、材料科学与工程、基础医学、口腔医学、护理学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重庆大学：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机械工程、电气工程、土木工程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电子科技大学：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电子科学与技术、信息与通信工程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西南石油大学：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成都理工大学：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四川农业大学：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作物学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成都中医药大学：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中药学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教育学、生物学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西南财经大学：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应用经济学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贵州大学：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植物保护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云南大学：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民族学、生态学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西北大学：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考古学、地质学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西安交通大学：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力学、机械工程、材料科学与工程、动力工程及工程热物理、电气工程、控制科学与工程、管理科学与工程、工商管理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西北工业大学：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机械工程、材料科学与工程、航空宇航科学与技术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西安电子科技大学：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信息与通信工程、计算机科学与技术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长安大学：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交通运输工程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西北农林科技大学：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植物保护、畜牧学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陕西师范大学：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中国语言文学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兰州大学：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化学、大气科学、生态学、草学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青海大学：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生态学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宁夏大学：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新疆大学：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马克思主义理论、化学、计算机科学与技术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石河子大学：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化学工程与技术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中国矿业大学（北京）：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矿业工程、安全科学与工程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中国石油大学（北京）：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地质资源与地质工程、石油与天然气工程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中国地质大学（北京）：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地质学、地质资源与地质工程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宁波大学：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力学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南方科技大学：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数学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上海科技大学：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中国科学院大学：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化学、材料科学与工程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国防科技大学：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信息与通信工程、计算机科学与技术、航空宇航科学与技术、软件工程、管理科学与工程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海军军医大学：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基础医学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空军军医大学：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临床医学</w:t>
      </w:r>
    </w:p>
    <w:sectPr>
      <w:pgSz w:w="11906" w:h="16838"/>
      <w:pgMar w:top="1440" w:right="1800" w:bottom="1118" w:left="1800" w:header="851" w:footer="992" w:gutter="0"/>
      <w:pgNumType w:fmt="decimal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FangSong-Z02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54F597"/>
    <w:multiLevelType w:val="singleLevel"/>
    <w:tmpl w:val="D354F59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F8"/>
    <w:rsid w:val="00003412"/>
    <w:rsid w:val="000141F8"/>
    <w:rsid w:val="000B0F0A"/>
    <w:rsid w:val="000B7CD2"/>
    <w:rsid w:val="00215C73"/>
    <w:rsid w:val="00222188"/>
    <w:rsid w:val="0024420F"/>
    <w:rsid w:val="00246C17"/>
    <w:rsid w:val="00257BEF"/>
    <w:rsid w:val="0033070E"/>
    <w:rsid w:val="00411F1B"/>
    <w:rsid w:val="004701D7"/>
    <w:rsid w:val="00481615"/>
    <w:rsid w:val="004C38EE"/>
    <w:rsid w:val="005B0CC2"/>
    <w:rsid w:val="006E5E26"/>
    <w:rsid w:val="00714773"/>
    <w:rsid w:val="00814737"/>
    <w:rsid w:val="00825262"/>
    <w:rsid w:val="008373E4"/>
    <w:rsid w:val="00907D48"/>
    <w:rsid w:val="009A6067"/>
    <w:rsid w:val="00A175BC"/>
    <w:rsid w:val="00A3733F"/>
    <w:rsid w:val="00A662B8"/>
    <w:rsid w:val="00AB10E5"/>
    <w:rsid w:val="00AE4153"/>
    <w:rsid w:val="00B128ED"/>
    <w:rsid w:val="00B210ED"/>
    <w:rsid w:val="00B333E6"/>
    <w:rsid w:val="00B369F3"/>
    <w:rsid w:val="00BD37FD"/>
    <w:rsid w:val="00BF39F8"/>
    <w:rsid w:val="00C63BE0"/>
    <w:rsid w:val="00C84EBE"/>
    <w:rsid w:val="00D33B7F"/>
    <w:rsid w:val="00DF74F9"/>
    <w:rsid w:val="00E7362A"/>
    <w:rsid w:val="00E9095B"/>
    <w:rsid w:val="00E93FBC"/>
    <w:rsid w:val="00F14B75"/>
    <w:rsid w:val="00F96762"/>
    <w:rsid w:val="00FB6264"/>
    <w:rsid w:val="00FB7E46"/>
    <w:rsid w:val="00FE7DE1"/>
    <w:rsid w:val="00FF00C7"/>
    <w:rsid w:val="00FF4782"/>
    <w:rsid w:val="04976F85"/>
    <w:rsid w:val="05642E12"/>
    <w:rsid w:val="09E60B1F"/>
    <w:rsid w:val="105A2FDC"/>
    <w:rsid w:val="117E56F8"/>
    <w:rsid w:val="16242100"/>
    <w:rsid w:val="214F17D3"/>
    <w:rsid w:val="27FA496E"/>
    <w:rsid w:val="375831C9"/>
    <w:rsid w:val="3C075B35"/>
    <w:rsid w:val="3E6076F3"/>
    <w:rsid w:val="439022FA"/>
    <w:rsid w:val="465C2323"/>
    <w:rsid w:val="469F4AEF"/>
    <w:rsid w:val="481E6F7A"/>
    <w:rsid w:val="54900704"/>
    <w:rsid w:val="586D7D3E"/>
    <w:rsid w:val="62B66254"/>
    <w:rsid w:val="64783774"/>
    <w:rsid w:val="6504149D"/>
    <w:rsid w:val="76FE71EA"/>
    <w:rsid w:val="7D04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赤峰市人力资源和社会保障局</Company>
  <Pages>15</Pages>
  <Words>1008</Words>
  <Characters>5750</Characters>
  <Lines>47</Lines>
  <Paragraphs>13</Paragraphs>
  <TotalTime>0</TotalTime>
  <ScaleCrop>false</ScaleCrop>
  <LinksUpToDate>false</LinksUpToDate>
  <CharactersWithSpaces>6745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2021-10-18T07:16:00Z</dcterms:created>
  <dc:creator>郭鲁蒙</dc:creator>
  <cp:lastModifiedBy>李国华</cp:lastModifiedBy>
  <cp:lastPrinted>2021-11-24T00:45:00Z</cp:lastPrinted>
  <dcterms:modified xsi:type="dcterms:W3CDTF">2022-06-22T00:38:12Z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285291EC6B8C49AFBD46746CC492311A</vt:lpwstr>
  </property>
</Properties>
</file>